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E79B1" w14:textId="77777777" w:rsidR="0043726A" w:rsidRDefault="0043726A">
      <w:pPr>
        <w:rPr>
          <w:rFonts w:ascii="Arial" w:eastAsia="Arial" w:hAnsi="Arial" w:cs="Arial"/>
          <w:b/>
          <w:sz w:val="28"/>
          <w:szCs w:val="28"/>
        </w:rPr>
      </w:pPr>
    </w:p>
    <w:p w14:paraId="5B9AAA50" w14:textId="09CB7A93" w:rsidR="001113CE" w:rsidRDefault="001113CE">
      <w:pPr>
        <w:rPr>
          <w:rFonts w:ascii="Arial" w:eastAsia="Arial" w:hAnsi="Arial" w:cs="Arial"/>
          <w:b/>
          <w:sz w:val="28"/>
          <w:szCs w:val="28"/>
        </w:rPr>
      </w:pPr>
    </w:p>
    <w:p w14:paraId="4BA8B47E" w14:textId="0B75EB51" w:rsidR="00AD228C" w:rsidRPr="002B1781" w:rsidRDefault="006E7F7F" w:rsidP="002B1781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Wrocławski </w:t>
      </w:r>
      <w:r w:rsidR="00FF138B">
        <w:rPr>
          <w:rFonts w:ascii="Arial" w:eastAsia="Arial" w:hAnsi="Arial" w:cs="Arial"/>
          <w:b/>
          <w:sz w:val="28"/>
          <w:szCs w:val="28"/>
        </w:rPr>
        <w:t xml:space="preserve">budynek </w:t>
      </w:r>
      <w:bookmarkStart w:id="0" w:name="_GoBack"/>
      <w:bookmarkEnd w:id="0"/>
      <w:proofErr w:type="spellStart"/>
      <w:r>
        <w:rPr>
          <w:rFonts w:ascii="Arial" w:eastAsia="Arial" w:hAnsi="Arial" w:cs="Arial"/>
          <w:b/>
          <w:sz w:val="28"/>
          <w:szCs w:val="28"/>
        </w:rPr>
        <w:t>Infinity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z biuram</w:t>
      </w:r>
      <w:r w:rsidR="00CF4DFA">
        <w:rPr>
          <w:rFonts w:ascii="Arial" w:eastAsia="Arial" w:hAnsi="Arial" w:cs="Arial"/>
          <w:b/>
          <w:sz w:val="28"/>
          <w:szCs w:val="28"/>
        </w:rPr>
        <w:t xml:space="preserve">i </w:t>
      </w:r>
      <w:proofErr w:type="spellStart"/>
      <w:r w:rsidR="00CF4DFA">
        <w:rPr>
          <w:rFonts w:ascii="Arial" w:eastAsia="Arial" w:hAnsi="Arial" w:cs="Arial"/>
          <w:b/>
          <w:sz w:val="28"/>
          <w:szCs w:val="28"/>
        </w:rPr>
        <w:t>flex</w:t>
      </w:r>
      <w:proofErr w:type="spellEnd"/>
    </w:p>
    <w:p w14:paraId="6FCF68B2" w14:textId="6BD7DE0E" w:rsidR="0043726A" w:rsidRDefault="0043726A" w:rsidP="00671ADD">
      <w:pPr>
        <w:rPr>
          <w:rFonts w:ascii="Arial" w:eastAsia="Arial" w:hAnsi="Arial" w:cs="Arial"/>
          <w:b/>
          <w:sz w:val="28"/>
          <w:szCs w:val="28"/>
        </w:rPr>
      </w:pPr>
    </w:p>
    <w:p w14:paraId="02F05600" w14:textId="77777777" w:rsidR="0043726A" w:rsidRPr="00C20416" w:rsidRDefault="00987F67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C20416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91FEFAD" w14:textId="2E9E633D" w:rsidR="0043726A" w:rsidRPr="00C20416" w:rsidRDefault="00386CE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18</w:t>
      </w:r>
      <w:r w:rsidR="006E7F7F">
        <w:rPr>
          <w:rFonts w:ascii="Arial" w:eastAsia="Arial" w:hAnsi="Arial" w:cs="Arial"/>
          <w:sz w:val="22"/>
          <w:szCs w:val="22"/>
        </w:rPr>
        <w:t>.06.2024 r.</w:t>
      </w:r>
    </w:p>
    <w:p w14:paraId="2A96A1B4" w14:textId="77777777" w:rsidR="00671ADD" w:rsidRPr="00C20416" w:rsidRDefault="00671ADD">
      <w:pPr>
        <w:rPr>
          <w:rFonts w:ascii="Arial" w:eastAsia="Arial" w:hAnsi="Arial" w:cs="Arial"/>
          <w:sz w:val="22"/>
          <w:szCs w:val="22"/>
        </w:rPr>
      </w:pPr>
    </w:p>
    <w:p w14:paraId="23E62E85" w14:textId="1FF8833E" w:rsidR="001460E2" w:rsidRPr="00386CEA" w:rsidRDefault="001460E2" w:rsidP="00386CEA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 w:rsidRPr="00386CEA">
        <w:rPr>
          <w:rFonts w:ascii="Arial" w:eastAsia="Arial" w:hAnsi="Arial" w:cs="Arial"/>
          <w:b/>
          <w:sz w:val="22"/>
          <w:szCs w:val="22"/>
        </w:rPr>
        <w:t>The Shire – Beyond Coworking dołączył do grona najemców biurowca Infinity</w:t>
      </w:r>
      <w:r w:rsidR="00684A24" w:rsidRPr="00386CEA">
        <w:rPr>
          <w:rFonts w:ascii="Arial" w:eastAsia="Arial" w:hAnsi="Arial" w:cs="Arial"/>
          <w:b/>
          <w:sz w:val="22"/>
          <w:szCs w:val="22"/>
        </w:rPr>
        <w:t xml:space="preserve">. Elastyczna i komfortowa przestrzeń </w:t>
      </w:r>
      <w:r w:rsidR="0020118B" w:rsidRPr="00386CEA">
        <w:rPr>
          <w:rFonts w:ascii="Arial" w:eastAsia="Arial" w:hAnsi="Arial" w:cs="Arial"/>
          <w:b/>
          <w:sz w:val="22"/>
          <w:szCs w:val="22"/>
        </w:rPr>
        <w:t xml:space="preserve">do pracy </w:t>
      </w:r>
      <w:r w:rsidR="00684A24" w:rsidRPr="00386CEA">
        <w:rPr>
          <w:rFonts w:ascii="Arial" w:eastAsia="Arial" w:hAnsi="Arial" w:cs="Arial"/>
          <w:b/>
          <w:sz w:val="22"/>
          <w:szCs w:val="22"/>
        </w:rPr>
        <w:t xml:space="preserve">w budynku przy ul. Legnickiej 16 we Wrocławiu będzie pierwszą lokalizacją tej dynamicznie rozwijającej się sieci biur </w:t>
      </w:r>
      <w:proofErr w:type="spellStart"/>
      <w:r w:rsidR="00684A24" w:rsidRPr="00386CEA">
        <w:rPr>
          <w:rFonts w:ascii="Arial" w:eastAsia="Arial" w:hAnsi="Arial" w:cs="Arial"/>
          <w:b/>
          <w:sz w:val="22"/>
          <w:szCs w:val="22"/>
        </w:rPr>
        <w:t>serwisowanych</w:t>
      </w:r>
      <w:r w:rsidR="00E73D9A" w:rsidRPr="00386CEA">
        <w:rPr>
          <w:rFonts w:ascii="Arial" w:eastAsia="Arial" w:hAnsi="Arial" w:cs="Arial"/>
          <w:b/>
          <w:sz w:val="22"/>
          <w:szCs w:val="22"/>
        </w:rPr>
        <w:t>we</w:t>
      </w:r>
      <w:proofErr w:type="spellEnd"/>
      <w:r w:rsidR="00E73D9A" w:rsidRPr="00386CEA">
        <w:rPr>
          <w:rFonts w:ascii="Arial" w:eastAsia="Arial" w:hAnsi="Arial" w:cs="Arial"/>
          <w:b/>
          <w:sz w:val="22"/>
          <w:szCs w:val="22"/>
        </w:rPr>
        <w:t xml:space="preserve"> Wrocławiu</w:t>
      </w:r>
      <w:r w:rsidR="00684A24" w:rsidRPr="00386CEA">
        <w:rPr>
          <w:rFonts w:ascii="Arial" w:eastAsia="Arial" w:hAnsi="Arial" w:cs="Arial"/>
          <w:b/>
          <w:sz w:val="22"/>
          <w:szCs w:val="22"/>
        </w:rPr>
        <w:t xml:space="preserve">. W biurowcu Infinity najemcy The Shire będą mieli do dyspozycji </w:t>
      </w:r>
      <w:r w:rsidR="00CE2E55" w:rsidRPr="00386CEA">
        <w:rPr>
          <w:rFonts w:ascii="Arial" w:eastAsia="Arial" w:hAnsi="Arial" w:cs="Arial"/>
          <w:b/>
          <w:sz w:val="22"/>
          <w:szCs w:val="22"/>
        </w:rPr>
        <w:t xml:space="preserve">ponad 2000 mkw. powierzchni, zlokalizowanej na 3. piętrze budynku. Otwarcie przestrzeni coworkingowej w </w:t>
      </w:r>
      <w:proofErr w:type="spellStart"/>
      <w:r w:rsidR="00CE2E55" w:rsidRPr="00386CEA">
        <w:rPr>
          <w:rFonts w:ascii="Arial" w:eastAsia="Arial" w:hAnsi="Arial" w:cs="Arial"/>
          <w:b/>
          <w:sz w:val="22"/>
          <w:szCs w:val="22"/>
        </w:rPr>
        <w:t>Infinity</w:t>
      </w:r>
      <w:proofErr w:type="spellEnd"/>
      <w:r w:rsidR="00CE2E55" w:rsidRPr="00386CEA">
        <w:rPr>
          <w:rFonts w:ascii="Arial" w:eastAsia="Arial" w:hAnsi="Arial" w:cs="Arial"/>
          <w:b/>
          <w:sz w:val="22"/>
          <w:szCs w:val="22"/>
        </w:rPr>
        <w:t xml:space="preserve"> zaplanowano na </w:t>
      </w:r>
      <w:r w:rsidR="00386CEA" w:rsidRPr="00386CEA">
        <w:rPr>
          <w:rFonts w:ascii="Arial" w:eastAsia="Arial" w:hAnsi="Arial" w:cs="Arial"/>
          <w:b/>
          <w:sz w:val="22"/>
          <w:szCs w:val="22"/>
        </w:rPr>
        <w:t>I kw. 2025 r.</w:t>
      </w:r>
    </w:p>
    <w:p w14:paraId="15F8D5DD" w14:textId="6E4CCCB1" w:rsidR="00CE2E55" w:rsidRPr="00386CEA" w:rsidRDefault="00CE2E55" w:rsidP="00386CEA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386CEA">
        <w:rPr>
          <w:rFonts w:ascii="Arial" w:eastAsia="Arial" w:hAnsi="Arial" w:cs="Arial"/>
          <w:sz w:val="22"/>
          <w:szCs w:val="22"/>
        </w:rPr>
        <w:t xml:space="preserve">Przestrzenie biurowe The Shire – Beyond Coworking wyróżniają się spośród standardowych biur elastycznych czy serwisowanych, prezentując propozycję z segmentu premium. Model biznesowy firmy zakłada butikowe powierzchnie subtelnie i nowocześnie zaaranżowane, które sprawdzą się w przypadku dojrzałych biznesów, jak i tych, którzy cenią prestiżowe oraz jakościowe podejście do miejsca pracy. Jednym z priorytetów The Shire – Beyond Coworking jest elastyczność umów najmu i kompleksowość usług. Koncept nie </w:t>
      </w:r>
      <w:r w:rsidR="0020118B" w:rsidRPr="00386CEA">
        <w:rPr>
          <w:rFonts w:ascii="Arial" w:eastAsia="Arial" w:hAnsi="Arial" w:cs="Arial"/>
          <w:sz w:val="22"/>
          <w:szCs w:val="22"/>
        </w:rPr>
        <w:t xml:space="preserve">pobiera dodatkowych </w:t>
      </w:r>
      <w:r w:rsidRPr="00386CEA">
        <w:rPr>
          <w:rFonts w:ascii="Arial" w:eastAsia="Arial" w:hAnsi="Arial" w:cs="Arial"/>
          <w:sz w:val="22"/>
          <w:szCs w:val="22"/>
        </w:rPr>
        <w:t xml:space="preserve">opłat, a lokalizacje sieci posiadają wiele </w:t>
      </w:r>
      <w:r w:rsidR="0020118B" w:rsidRPr="00386CEA">
        <w:rPr>
          <w:rFonts w:ascii="Arial" w:eastAsia="Arial" w:hAnsi="Arial" w:cs="Arial"/>
          <w:sz w:val="22"/>
          <w:szCs w:val="22"/>
        </w:rPr>
        <w:t xml:space="preserve">rozmaitych udogodnień i </w:t>
      </w:r>
      <w:r w:rsidRPr="00386CEA">
        <w:rPr>
          <w:rFonts w:ascii="Arial" w:eastAsia="Arial" w:hAnsi="Arial" w:cs="Arial"/>
          <w:sz w:val="22"/>
          <w:szCs w:val="22"/>
        </w:rPr>
        <w:t xml:space="preserve">benefitów. Dla wygody najemców The Shire, we współpracy ze </w:t>
      </w:r>
      <w:r w:rsidR="0016238D" w:rsidRPr="00386CEA">
        <w:rPr>
          <w:rFonts w:ascii="Arial" w:eastAsia="Arial" w:hAnsi="Arial" w:cs="Arial"/>
          <w:sz w:val="22"/>
          <w:szCs w:val="22"/>
        </w:rPr>
        <w:t>s</w:t>
      </w:r>
      <w:r w:rsidRPr="00386CEA">
        <w:rPr>
          <w:rFonts w:ascii="Arial" w:eastAsia="Arial" w:hAnsi="Arial" w:cs="Arial"/>
          <w:sz w:val="22"/>
          <w:szCs w:val="22"/>
        </w:rPr>
        <w:t xml:space="preserve">paceOs, uruchomiło dedykowaną aplikację, która zarządza całym ekosystemem i ułatwia korzystanie z przestrzeni. </w:t>
      </w:r>
    </w:p>
    <w:p w14:paraId="3BA76E93" w14:textId="484DF83E" w:rsidR="00CE2E55" w:rsidRPr="00386CEA" w:rsidRDefault="0020118B" w:rsidP="00386CEA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386CEA">
        <w:rPr>
          <w:rFonts w:ascii="Arial" w:eastAsia="Arial" w:hAnsi="Arial" w:cs="Arial"/>
          <w:sz w:val="22"/>
          <w:szCs w:val="22"/>
        </w:rPr>
        <w:t xml:space="preserve">Klienci </w:t>
      </w:r>
      <w:r w:rsidR="00CE2E55" w:rsidRPr="00386CEA">
        <w:rPr>
          <w:rFonts w:ascii="Arial" w:eastAsia="Arial" w:hAnsi="Arial" w:cs="Arial"/>
          <w:sz w:val="22"/>
          <w:szCs w:val="22"/>
        </w:rPr>
        <w:t xml:space="preserve">The </w:t>
      </w:r>
      <w:proofErr w:type="spellStart"/>
      <w:r w:rsidR="00CE2E55" w:rsidRPr="00386CEA">
        <w:rPr>
          <w:rFonts w:ascii="Arial" w:eastAsia="Arial" w:hAnsi="Arial" w:cs="Arial"/>
          <w:sz w:val="22"/>
          <w:szCs w:val="22"/>
        </w:rPr>
        <w:t>Shire</w:t>
      </w:r>
      <w:proofErr w:type="spellEnd"/>
      <w:r w:rsidR="00CE2E55" w:rsidRPr="00386CEA"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 w:rsidR="00CE2E55" w:rsidRPr="00386CEA">
        <w:rPr>
          <w:rFonts w:ascii="Arial" w:eastAsia="Arial" w:hAnsi="Arial" w:cs="Arial"/>
          <w:sz w:val="22"/>
          <w:szCs w:val="22"/>
        </w:rPr>
        <w:t>Infinity</w:t>
      </w:r>
      <w:proofErr w:type="spellEnd"/>
      <w:r w:rsidR="00CE2E55" w:rsidRPr="00386CEA">
        <w:rPr>
          <w:rFonts w:ascii="Arial" w:eastAsia="Arial" w:hAnsi="Arial" w:cs="Arial"/>
          <w:sz w:val="22"/>
          <w:szCs w:val="22"/>
        </w:rPr>
        <w:t xml:space="preserve"> będą mieli do dyspozycji m.in. otwartą przestrzeń integracji i wypoczynku z miejscami do pracy, sale spotkań i salki konferencyjne wyposażone w system wideokonferencji,</w:t>
      </w:r>
      <w:r w:rsidR="00E73D9A" w:rsidRPr="00386CE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86CEA" w:rsidRPr="00386CEA">
        <w:rPr>
          <w:rFonts w:ascii="Arial" w:eastAsia="Arial" w:hAnsi="Arial" w:cs="Arial"/>
          <w:sz w:val="22"/>
          <w:szCs w:val="22"/>
        </w:rPr>
        <w:t>c</w:t>
      </w:r>
      <w:r w:rsidR="00E73D9A" w:rsidRPr="00386CEA">
        <w:rPr>
          <w:rFonts w:ascii="Arial" w:eastAsia="Arial" w:hAnsi="Arial" w:cs="Arial"/>
          <w:sz w:val="22"/>
          <w:szCs w:val="22"/>
        </w:rPr>
        <w:t>hill</w:t>
      </w:r>
      <w:proofErr w:type="spellEnd"/>
      <w:r w:rsidR="00E73D9A" w:rsidRPr="00386CE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73D9A" w:rsidRPr="00386CEA">
        <w:rPr>
          <w:rFonts w:ascii="Arial" w:eastAsia="Arial" w:hAnsi="Arial" w:cs="Arial"/>
          <w:sz w:val="22"/>
          <w:szCs w:val="22"/>
        </w:rPr>
        <w:t>room</w:t>
      </w:r>
      <w:proofErr w:type="spellEnd"/>
      <w:r w:rsidR="00386CEA" w:rsidRPr="00386CEA">
        <w:rPr>
          <w:rFonts w:ascii="Arial" w:eastAsia="Arial" w:hAnsi="Arial" w:cs="Arial"/>
          <w:sz w:val="22"/>
          <w:szCs w:val="22"/>
        </w:rPr>
        <w:t>,</w:t>
      </w:r>
      <w:r w:rsidR="00CE2E55" w:rsidRPr="00386CEA">
        <w:rPr>
          <w:rFonts w:ascii="Arial" w:eastAsia="Arial" w:hAnsi="Arial" w:cs="Arial"/>
          <w:sz w:val="22"/>
          <w:szCs w:val="22"/>
        </w:rPr>
        <w:t xml:space="preserve"> a także pokoje do pracy indywidualnej i przestrzenie wspólne z możliwością skorzystania z recepcji, odbioru korespondencji, serwisu sprzątającego, budek telefonicznych czy drukowania i skanowania</w:t>
      </w:r>
      <w:r w:rsidRPr="00386CEA">
        <w:rPr>
          <w:rFonts w:ascii="Arial" w:eastAsia="Arial" w:hAnsi="Arial" w:cs="Arial"/>
          <w:sz w:val="22"/>
          <w:szCs w:val="22"/>
        </w:rPr>
        <w:t xml:space="preserve"> dokumentów</w:t>
      </w:r>
      <w:r w:rsidR="00521A70" w:rsidRPr="00386CEA">
        <w:rPr>
          <w:rFonts w:ascii="Arial" w:eastAsia="Arial" w:hAnsi="Arial" w:cs="Arial"/>
          <w:sz w:val="22"/>
          <w:szCs w:val="22"/>
        </w:rPr>
        <w:t>.</w:t>
      </w:r>
    </w:p>
    <w:p w14:paraId="4A00D2AA" w14:textId="583DF518" w:rsidR="00F17A1B" w:rsidRPr="00386CEA" w:rsidRDefault="00DC7FA9" w:rsidP="00386CEA">
      <w:pPr>
        <w:spacing w:after="120"/>
        <w:jc w:val="both"/>
        <w:rPr>
          <w:rFonts w:ascii="Arial" w:eastAsia="Arial" w:hAnsi="Arial" w:cs="Arial"/>
          <w:i/>
          <w:sz w:val="22"/>
          <w:szCs w:val="22"/>
        </w:rPr>
      </w:pPr>
      <w:r w:rsidRPr="00386CEA">
        <w:rPr>
          <w:rFonts w:ascii="Arial" w:eastAsia="Arial" w:hAnsi="Arial" w:cs="Arial"/>
          <w:i/>
          <w:sz w:val="22"/>
          <w:szCs w:val="22"/>
        </w:rPr>
        <w:t>–</w:t>
      </w:r>
      <w:r w:rsidR="00A53E9D" w:rsidRPr="00386CEA">
        <w:rPr>
          <w:rFonts w:ascii="Arial" w:eastAsia="Arial" w:hAnsi="Arial" w:cs="Arial"/>
          <w:i/>
          <w:sz w:val="22"/>
          <w:szCs w:val="22"/>
        </w:rPr>
        <w:t xml:space="preserve"> </w:t>
      </w:r>
      <w:r w:rsidR="00BB138A" w:rsidRPr="00386CEA">
        <w:rPr>
          <w:rFonts w:ascii="Arial" w:eastAsia="Arial" w:hAnsi="Arial" w:cs="Arial"/>
          <w:i/>
          <w:sz w:val="22"/>
          <w:szCs w:val="22"/>
        </w:rPr>
        <w:t xml:space="preserve">Jesteśmy bardzo zadowoleni, że pierwsza przestrzeń coworkingowa The </w:t>
      </w:r>
      <w:proofErr w:type="spellStart"/>
      <w:r w:rsidR="00BB138A" w:rsidRPr="00386CEA">
        <w:rPr>
          <w:rFonts w:ascii="Arial" w:eastAsia="Arial" w:hAnsi="Arial" w:cs="Arial"/>
          <w:i/>
          <w:sz w:val="22"/>
          <w:szCs w:val="22"/>
        </w:rPr>
        <w:t>Shire</w:t>
      </w:r>
      <w:proofErr w:type="spellEnd"/>
      <w:r w:rsidR="00BB138A" w:rsidRPr="00386CEA">
        <w:rPr>
          <w:rFonts w:ascii="Arial" w:eastAsia="Arial" w:hAnsi="Arial" w:cs="Arial"/>
          <w:i/>
          <w:sz w:val="22"/>
          <w:szCs w:val="22"/>
        </w:rPr>
        <w:t xml:space="preserve"> </w:t>
      </w:r>
      <w:r w:rsidR="00E73D9A" w:rsidRPr="00386CEA">
        <w:rPr>
          <w:rFonts w:ascii="Arial" w:eastAsia="Arial" w:hAnsi="Arial" w:cs="Arial"/>
          <w:i/>
          <w:sz w:val="22"/>
          <w:szCs w:val="22"/>
        </w:rPr>
        <w:t>we Wrocławiu</w:t>
      </w:r>
      <w:r w:rsidR="00BB138A" w:rsidRPr="00386CEA">
        <w:rPr>
          <w:rFonts w:ascii="Arial" w:eastAsia="Arial" w:hAnsi="Arial" w:cs="Arial"/>
          <w:i/>
          <w:sz w:val="22"/>
          <w:szCs w:val="22"/>
        </w:rPr>
        <w:t>, powstanie właśnie w naszym</w:t>
      </w:r>
      <w:r w:rsidR="00386CEA" w:rsidRPr="00386CEA">
        <w:rPr>
          <w:rFonts w:ascii="Arial" w:eastAsia="Arial" w:hAnsi="Arial" w:cs="Arial"/>
          <w:i/>
          <w:sz w:val="22"/>
          <w:szCs w:val="22"/>
        </w:rPr>
        <w:t xml:space="preserve"> </w:t>
      </w:r>
      <w:r w:rsidR="00BB138A" w:rsidRPr="00386CEA">
        <w:rPr>
          <w:rFonts w:ascii="Arial" w:eastAsia="Arial" w:hAnsi="Arial" w:cs="Arial"/>
          <w:i/>
          <w:sz w:val="22"/>
          <w:szCs w:val="22"/>
        </w:rPr>
        <w:t xml:space="preserve">biurowcu. </w:t>
      </w:r>
      <w:r w:rsidR="00C82A29" w:rsidRPr="00386CEA">
        <w:rPr>
          <w:rFonts w:ascii="Arial" w:eastAsia="Arial" w:hAnsi="Arial" w:cs="Arial"/>
          <w:i/>
          <w:sz w:val="22"/>
          <w:szCs w:val="22"/>
        </w:rPr>
        <w:t>Ten nowoczesny i wyjątkowy koncept doskonale wpisuje się profil firm, które zdecydowały się związać swoją przyszłość z naszym budynkiem. Ponadto, posiadanie w biurowcu przestrzeni coworkin</w:t>
      </w:r>
      <w:r w:rsidR="0016238D" w:rsidRPr="00386CEA">
        <w:rPr>
          <w:rFonts w:ascii="Arial" w:eastAsia="Arial" w:hAnsi="Arial" w:cs="Arial"/>
          <w:i/>
          <w:sz w:val="22"/>
          <w:szCs w:val="22"/>
        </w:rPr>
        <w:t>g</w:t>
      </w:r>
      <w:r w:rsidR="00C82A29" w:rsidRPr="00386CEA">
        <w:rPr>
          <w:rFonts w:ascii="Arial" w:eastAsia="Arial" w:hAnsi="Arial" w:cs="Arial"/>
          <w:i/>
          <w:sz w:val="22"/>
          <w:szCs w:val="22"/>
        </w:rPr>
        <w:t>owej stanowi niewątpliwy atut</w:t>
      </w:r>
      <w:r w:rsidR="0016238D" w:rsidRPr="00386CEA">
        <w:rPr>
          <w:rFonts w:ascii="Arial" w:eastAsia="Arial" w:hAnsi="Arial" w:cs="Arial"/>
          <w:i/>
          <w:sz w:val="22"/>
          <w:szCs w:val="22"/>
        </w:rPr>
        <w:t xml:space="preserve"> zarówno dla nas jako właściciela, jak i dla pozostałych najemców Inifinity, przed którymi otwierają się dodatkowe</w:t>
      </w:r>
      <w:r w:rsidR="00984693" w:rsidRPr="00386CEA">
        <w:rPr>
          <w:rFonts w:ascii="Arial" w:eastAsia="Arial" w:hAnsi="Arial" w:cs="Arial"/>
          <w:i/>
          <w:sz w:val="22"/>
          <w:szCs w:val="22"/>
        </w:rPr>
        <w:t>,</w:t>
      </w:r>
      <w:r w:rsidR="0016238D" w:rsidRPr="00386CEA">
        <w:rPr>
          <w:rFonts w:ascii="Arial" w:eastAsia="Arial" w:hAnsi="Arial" w:cs="Arial"/>
          <w:i/>
          <w:sz w:val="22"/>
          <w:szCs w:val="22"/>
        </w:rPr>
        <w:t xml:space="preserve"> elastyczne możliwości. Jestem przekonany, że kreatywna przestrzeń The Shire będzie cieszyła się dużą popularnością m.in. ze względu na najwyższą jakość oferowanych usług i bardzo atrakcyjną lokalizację naszego budynku</w:t>
      </w:r>
      <w:r w:rsidR="00386CEA" w:rsidRPr="00386CEA">
        <w:rPr>
          <w:rFonts w:ascii="Arial" w:eastAsia="Arial" w:hAnsi="Arial" w:cs="Arial"/>
          <w:i/>
          <w:sz w:val="22"/>
          <w:szCs w:val="22"/>
        </w:rPr>
        <w:t xml:space="preserve"> </w:t>
      </w:r>
      <w:r w:rsidRPr="00386CEA">
        <w:rPr>
          <w:rFonts w:ascii="Arial" w:eastAsia="Arial" w:hAnsi="Arial" w:cs="Arial"/>
          <w:sz w:val="22"/>
          <w:szCs w:val="22"/>
        </w:rPr>
        <w:t xml:space="preserve">– powiedział </w:t>
      </w:r>
      <w:r w:rsidRPr="00386CEA">
        <w:rPr>
          <w:rFonts w:ascii="Arial" w:eastAsia="Arial" w:hAnsi="Arial" w:cs="Arial"/>
          <w:b/>
          <w:sz w:val="22"/>
          <w:szCs w:val="22"/>
        </w:rPr>
        <w:t>Mariusz Frąckiewicz, Dyrektor Krajowy Avestus Real Estate w Polsce</w:t>
      </w:r>
      <w:r w:rsidRPr="00386CEA">
        <w:rPr>
          <w:rFonts w:ascii="Arial" w:eastAsia="Arial" w:hAnsi="Arial" w:cs="Arial"/>
          <w:sz w:val="22"/>
          <w:szCs w:val="22"/>
        </w:rPr>
        <w:t>.</w:t>
      </w:r>
    </w:p>
    <w:p w14:paraId="7330397B" w14:textId="27585906" w:rsidR="0016238D" w:rsidRPr="00386CEA" w:rsidRDefault="0016238D" w:rsidP="00386CEA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386CEA">
        <w:rPr>
          <w:rFonts w:ascii="Arial" w:eastAsia="Arial" w:hAnsi="Arial" w:cs="Arial"/>
          <w:sz w:val="22"/>
          <w:szCs w:val="22"/>
        </w:rPr>
        <w:t xml:space="preserve">Pierwsza przestrzeń coworkingowa sieci biur serwisowanych The Shire – Beyond Coworking </w:t>
      </w:r>
      <w:r w:rsidR="00A53E9D" w:rsidRPr="00386CEA">
        <w:rPr>
          <w:rFonts w:ascii="Arial" w:eastAsia="Arial" w:hAnsi="Arial" w:cs="Arial"/>
          <w:sz w:val="22"/>
          <w:szCs w:val="22"/>
        </w:rPr>
        <w:t xml:space="preserve">we Wrocławiu zostanie zaaranżowana na </w:t>
      </w:r>
      <w:r w:rsidRPr="00386CEA">
        <w:rPr>
          <w:rFonts w:ascii="Arial" w:eastAsia="Arial" w:hAnsi="Arial" w:cs="Arial"/>
          <w:sz w:val="22"/>
          <w:szCs w:val="22"/>
        </w:rPr>
        <w:t>ponad 2000 mkw. powierzchni, umiejscowionej na 3. piętrze biurowca Infinity. Jej otwarcie zaplanowano na</w:t>
      </w:r>
      <w:r w:rsidR="00386CEA" w:rsidRPr="00386CEA">
        <w:rPr>
          <w:rFonts w:ascii="Arial" w:eastAsia="Arial" w:hAnsi="Arial" w:cs="Arial"/>
          <w:sz w:val="22"/>
          <w:szCs w:val="22"/>
        </w:rPr>
        <w:t xml:space="preserve"> I kw. 2025 r., a w</w:t>
      </w:r>
      <w:r w:rsidRPr="00386CEA">
        <w:rPr>
          <w:rFonts w:ascii="Arial" w:eastAsia="Arial" w:hAnsi="Arial" w:cs="Arial"/>
          <w:sz w:val="22"/>
          <w:szCs w:val="22"/>
        </w:rPr>
        <w:t xml:space="preserve"> procesie negocjacji </w:t>
      </w:r>
      <w:proofErr w:type="spellStart"/>
      <w:r w:rsidRPr="00386CEA">
        <w:rPr>
          <w:rFonts w:ascii="Arial" w:eastAsia="Arial" w:hAnsi="Arial" w:cs="Arial"/>
          <w:sz w:val="22"/>
          <w:szCs w:val="22"/>
        </w:rPr>
        <w:t>Avestus</w:t>
      </w:r>
      <w:proofErr w:type="spellEnd"/>
      <w:r w:rsidRPr="00386CEA">
        <w:rPr>
          <w:rFonts w:ascii="Arial" w:eastAsia="Arial" w:hAnsi="Arial" w:cs="Arial"/>
          <w:sz w:val="22"/>
          <w:szCs w:val="22"/>
        </w:rPr>
        <w:t xml:space="preserve"> Real </w:t>
      </w:r>
      <w:proofErr w:type="spellStart"/>
      <w:r w:rsidRPr="00386CEA">
        <w:rPr>
          <w:rFonts w:ascii="Arial" w:eastAsia="Arial" w:hAnsi="Arial" w:cs="Arial"/>
          <w:sz w:val="22"/>
          <w:szCs w:val="22"/>
        </w:rPr>
        <w:t>Estate</w:t>
      </w:r>
      <w:proofErr w:type="spellEnd"/>
      <w:r w:rsidRPr="00386CEA">
        <w:rPr>
          <w:rFonts w:ascii="Arial" w:eastAsia="Arial" w:hAnsi="Arial" w:cs="Arial"/>
          <w:sz w:val="22"/>
          <w:szCs w:val="22"/>
        </w:rPr>
        <w:t xml:space="preserve"> reprezentowa</w:t>
      </w:r>
      <w:r w:rsidR="00A731EF" w:rsidRPr="00386CEA">
        <w:rPr>
          <w:rFonts w:ascii="Arial" w:eastAsia="Arial" w:hAnsi="Arial" w:cs="Arial"/>
          <w:sz w:val="22"/>
          <w:szCs w:val="22"/>
        </w:rPr>
        <w:t xml:space="preserve">ny </w:t>
      </w:r>
      <w:r w:rsidR="00386CEA" w:rsidRPr="00386CEA">
        <w:rPr>
          <w:rFonts w:ascii="Arial" w:eastAsia="Arial" w:hAnsi="Arial" w:cs="Arial"/>
          <w:sz w:val="22"/>
          <w:szCs w:val="22"/>
        </w:rPr>
        <w:t xml:space="preserve">był </w:t>
      </w:r>
      <w:r w:rsidR="00A731EF" w:rsidRPr="00386CEA">
        <w:rPr>
          <w:rFonts w:ascii="Arial" w:eastAsia="Arial" w:hAnsi="Arial" w:cs="Arial"/>
          <w:sz w:val="22"/>
          <w:szCs w:val="22"/>
        </w:rPr>
        <w:t>przez JLL</w:t>
      </w:r>
      <w:r w:rsidRPr="00386CEA">
        <w:rPr>
          <w:rFonts w:ascii="Arial" w:eastAsia="Arial" w:hAnsi="Arial" w:cs="Arial"/>
          <w:sz w:val="22"/>
          <w:szCs w:val="22"/>
        </w:rPr>
        <w:t>.</w:t>
      </w:r>
    </w:p>
    <w:p w14:paraId="251507AF" w14:textId="72B5FE3E" w:rsidR="00386CEA" w:rsidRPr="00386CEA" w:rsidRDefault="00386CEA" w:rsidP="00386CE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86CEA">
        <w:rPr>
          <w:rFonts w:ascii="Arial" w:hAnsi="Arial" w:cs="Arial"/>
          <w:sz w:val="22"/>
          <w:szCs w:val="22"/>
        </w:rPr>
        <w:t xml:space="preserve">– </w:t>
      </w:r>
      <w:r w:rsidR="0081006E" w:rsidRPr="00964E45">
        <w:rPr>
          <w:rFonts w:ascii="Arial" w:hAnsi="Arial" w:cs="Arial"/>
          <w:i/>
          <w:sz w:val="22"/>
          <w:szCs w:val="22"/>
        </w:rPr>
        <w:t xml:space="preserve">Cieszymy się, że możemy otworzyć naszą pierwszą przestrzeń The </w:t>
      </w:r>
      <w:proofErr w:type="spellStart"/>
      <w:r w:rsidR="0081006E" w:rsidRPr="00964E45">
        <w:rPr>
          <w:rFonts w:ascii="Arial" w:hAnsi="Arial" w:cs="Arial"/>
          <w:i/>
          <w:sz w:val="22"/>
          <w:szCs w:val="22"/>
        </w:rPr>
        <w:t>Shire</w:t>
      </w:r>
      <w:proofErr w:type="spellEnd"/>
      <w:r w:rsidRPr="00964E45">
        <w:rPr>
          <w:rFonts w:ascii="Arial" w:hAnsi="Arial" w:cs="Arial"/>
          <w:i/>
          <w:sz w:val="22"/>
          <w:szCs w:val="22"/>
        </w:rPr>
        <w:t xml:space="preserve"> – </w:t>
      </w:r>
      <w:r w:rsidR="0081006E" w:rsidRPr="00964E45">
        <w:rPr>
          <w:rFonts w:ascii="Arial" w:hAnsi="Arial" w:cs="Arial"/>
          <w:i/>
          <w:sz w:val="22"/>
          <w:szCs w:val="22"/>
        </w:rPr>
        <w:t>Beyond Coworking we Wrocławiu w</w:t>
      </w:r>
      <w:r w:rsidR="00361FD5" w:rsidRPr="00964E45">
        <w:rPr>
          <w:rFonts w:ascii="Arial" w:hAnsi="Arial" w:cs="Arial"/>
          <w:i/>
          <w:sz w:val="22"/>
          <w:szCs w:val="22"/>
        </w:rPr>
        <w:t xml:space="preserve">łaśnie w </w:t>
      </w:r>
      <w:r w:rsidR="0081006E" w:rsidRPr="00964E45">
        <w:rPr>
          <w:rFonts w:ascii="Arial" w:hAnsi="Arial" w:cs="Arial"/>
          <w:i/>
          <w:sz w:val="22"/>
          <w:szCs w:val="22"/>
        </w:rPr>
        <w:t xml:space="preserve">budynku Infinity. Dzięki świetnej lokalizacji oraz zaawansowanej infrastrukturze, nasze </w:t>
      </w:r>
      <w:r w:rsidR="00361FD5" w:rsidRPr="00964E45">
        <w:rPr>
          <w:rFonts w:ascii="Arial" w:hAnsi="Arial" w:cs="Arial"/>
          <w:i/>
          <w:sz w:val="22"/>
          <w:szCs w:val="22"/>
        </w:rPr>
        <w:t xml:space="preserve">elastyczne </w:t>
      </w:r>
      <w:r w:rsidR="0081006E" w:rsidRPr="00964E45">
        <w:rPr>
          <w:rFonts w:ascii="Arial" w:hAnsi="Arial" w:cs="Arial"/>
          <w:i/>
          <w:sz w:val="22"/>
          <w:szCs w:val="22"/>
        </w:rPr>
        <w:t xml:space="preserve">przestrzenie będą oferować </w:t>
      </w:r>
      <w:r w:rsidRPr="00964E45">
        <w:rPr>
          <w:rFonts w:ascii="Arial" w:hAnsi="Arial" w:cs="Arial"/>
          <w:i/>
          <w:sz w:val="22"/>
          <w:szCs w:val="22"/>
        </w:rPr>
        <w:t>k</w:t>
      </w:r>
      <w:r w:rsidR="0081006E" w:rsidRPr="00964E45">
        <w:rPr>
          <w:rFonts w:ascii="Arial" w:hAnsi="Arial" w:cs="Arial"/>
          <w:i/>
          <w:sz w:val="22"/>
          <w:szCs w:val="22"/>
        </w:rPr>
        <w:t>lientom unikalne doświadczenia pracy w prestiżowym otoczeniu</w:t>
      </w:r>
      <w:r w:rsidR="006378A8" w:rsidRPr="00964E45">
        <w:rPr>
          <w:rFonts w:ascii="Arial" w:hAnsi="Arial" w:cs="Arial"/>
          <w:i/>
          <w:sz w:val="22"/>
          <w:szCs w:val="22"/>
        </w:rPr>
        <w:t>,</w:t>
      </w:r>
      <w:r w:rsidR="00361FD5" w:rsidRPr="00964E45">
        <w:rPr>
          <w:rFonts w:ascii="Arial" w:hAnsi="Arial" w:cs="Arial"/>
          <w:i/>
          <w:sz w:val="22"/>
          <w:szCs w:val="22"/>
        </w:rPr>
        <w:t xml:space="preserve"> jak to ma miejsce do tej pory w naszych </w:t>
      </w:r>
      <w:r w:rsidRPr="00964E45">
        <w:rPr>
          <w:rFonts w:ascii="Arial" w:hAnsi="Arial" w:cs="Arial"/>
          <w:i/>
          <w:sz w:val="22"/>
          <w:szCs w:val="22"/>
        </w:rPr>
        <w:t>dwóch</w:t>
      </w:r>
      <w:r w:rsidR="00361FD5" w:rsidRPr="00964E45">
        <w:rPr>
          <w:rFonts w:ascii="Arial" w:hAnsi="Arial" w:cs="Arial"/>
          <w:i/>
          <w:sz w:val="22"/>
          <w:szCs w:val="22"/>
        </w:rPr>
        <w:t xml:space="preserve"> lokalizacja w Warszawie: Warsaw Spire C oraz Małachowski Square</w:t>
      </w:r>
      <w:r w:rsidR="006F3379" w:rsidRPr="00964E45">
        <w:rPr>
          <w:rFonts w:ascii="Arial" w:hAnsi="Arial" w:cs="Arial"/>
          <w:i/>
          <w:sz w:val="22"/>
          <w:szCs w:val="22"/>
        </w:rPr>
        <w:t xml:space="preserve">. Wierzymy, że nasza oferta będzie </w:t>
      </w:r>
      <w:r w:rsidR="00B40E44" w:rsidRPr="00964E45">
        <w:rPr>
          <w:rFonts w:ascii="Arial" w:hAnsi="Arial" w:cs="Arial"/>
          <w:i/>
          <w:sz w:val="22"/>
          <w:szCs w:val="22"/>
        </w:rPr>
        <w:t>atrakcyjną</w:t>
      </w:r>
      <w:r w:rsidR="006F3379" w:rsidRPr="00964E45">
        <w:rPr>
          <w:rFonts w:ascii="Arial" w:hAnsi="Arial" w:cs="Arial"/>
          <w:i/>
          <w:sz w:val="22"/>
          <w:szCs w:val="22"/>
        </w:rPr>
        <w:t xml:space="preserve"> alternatywą dla </w:t>
      </w:r>
      <w:r w:rsidR="00A51A56" w:rsidRPr="00964E45">
        <w:rPr>
          <w:rFonts w:ascii="Arial" w:hAnsi="Arial" w:cs="Arial"/>
          <w:i/>
          <w:sz w:val="22"/>
          <w:szCs w:val="22"/>
        </w:rPr>
        <w:t>wrocławskich najemców</w:t>
      </w:r>
      <w:r w:rsidRPr="00964E45">
        <w:rPr>
          <w:rFonts w:ascii="Arial" w:hAnsi="Arial" w:cs="Arial"/>
          <w:i/>
          <w:sz w:val="22"/>
          <w:szCs w:val="22"/>
        </w:rPr>
        <w:t xml:space="preserve"> </w:t>
      </w:r>
      <w:r w:rsidR="00A51A56" w:rsidRPr="00964E45">
        <w:rPr>
          <w:rFonts w:ascii="Arial" w:hAnsi="Arial" w:cs="Arial"/>
          <w:i/>
          <w:sz w:val="22"/>
          <w:szCs w:val="22"/>
        </w:rPr>
        <w:t xml:space="preserve">oraz </w:t>
      </w:r>
      <w:r w:rsidR="00A51A56" w:rsidRPr="00964E45">
        <w:rPr>
          <w:rFonts w:ascii="Arial" w:hAnsi="Arial" w:cs="Arial"/>
          <w:i/>
          <w:sz w:val="22"/>
          <w:szCs w:val="22"/>
        </w:rPr>
        <w:lastRenderedPageBreak/>
        <w:t xml:space="preserve">uzupełni </w:t>
      </w:r>
      <w:proofErr w:type="spellStart"/>
      <w:r w:rsidR="00A51A56" w:rsidRPr="00964E45">
        <w:rPr>
          <w:rFonts w:ascii="Arial" w:hAnsi="Arial" w:cs="Arial"/>
          <w:i/>
          <w:sz w:val="22"/>
          <w:szCs w:val="22"/>
        </w:rPr>
        <w:t>aktulaną</w:t>
      </w:r>
      <w:proofErr w:type="spellEnd"/>
      <w:r w:rsidR="00A51A56" w:rsidRPr="00964E45">
        <w:rPr>
          <w:rFonts w:ascii="Arial" w:hAnsi="Arial" w:cs="Arial"/>
          <w:i/>
          <w:sz w:val="22"/>
          <w:szCs w:val="22"/>
        </w:rPr>
        <w:t xml:space="preserve"> ofertę rynku o biura typu </w:t>
      </w:r>
      <w:proofErr w:type="spellStart"/>
      <w:r w:rsidR="00A51A56" w:rsidRPr="00964E45">
        <w:rPr>
          <w:rFonts w:ascii="Arial" w:hAnsi="Arial" w:cs="Arial"/>
          <w:i/>
          <w:sz w:val="22"/>
          <w:szCs w:val="22"/>
        </w:rPr>
        <w:t>premium</w:t>
      </w:r>
      <w:proofErr w:type="spellEnd"/>
      <w:r w:rsidRPr="00386CEA">
        <w:rPr>
          <w:rFonts w:ascii="Arial" w:hAnsi="Arial" w:cs="Arial"/>
          <w:sz w:val="22"/>
          <w:szCs w:val="22"/>
        </w:rPr>
        <w:t xml:space="preserve"> </w:t>
      </w:r>
      <w:r w:rsidR="0081006E" w:rsidRPr="00386CEA">
        <w:rPr>
          <w:rFonts w:ascii="Arial" w:hAnsi="Arial" w:cs="Arial"/>
          <w:sz w:val="22"/>
          <w:szCs w:val="22"/>
        </w:rPr>
        <w:t xml:space="preserve">– </w:t>
      </w:r>
      <w:r w:rsidRPr="00386CEA">
        <w:rPr>
          <w:rFonts w:ascii="Arial" w:hAnsi="Arial" w:cs="Arial"/>
          <w:sz w:val="22"/>
          <w:szCs w:val="22"/>
        </w:rPr>
        <w:t>skomentował</w:t>
      </w:r>
      <w:r w:rsidR="0081006E" w:rsidRPr="00386CEA">
        <w:rPr>
          <w:rFonts w:ascii="Arial" w:hAnsi="Arial" w:cs="Arial"/>
          <w:sz w:val="22"/>
          <w:szCs w:val="22"/>
        </w:rPr>
        <w:t xml:space="preserve"> </w:t>
      </w:r>
      <w:r w:rsidR="00295550" w:rsidRPr="00386CEA">
        <w:rPr>
          <w:rFonts w:ascii="Arial" w:hAnsi="Arial" w:cs="Arial"/>
          <w:b/>
          <w:sz w:val="22"/>
          <w:szCs w:val="22"/>
        </w:rPr>
        <w:t xml:space="preserve">Rafał </w:t>
      </w:r>
      <w:proofErr w:type="spellStart"/>
      <w:r w:rsidR="00295550" w:rsidRPr="00386CEA">
        <w:rPr>
          <w:rFonts w:ascii="Arial" w:hAnsi="Arial" w:cs="Arial"/>
          <w:b/>
          <w:sz w:val="22"/>
          <w:szCs w:val="22"/>
        </w:rPr>
        <w:t>Pisklewicz</w:t>
      </w:r>
      <w:proofErr w:type="spellEnd"/>
      <w:r w:rsidRPr="00386CEA">
        <w:rPr>
          <w:rFonts w:ascii="Arial" w:hAnsi="Arial" w:cs="Arial"/>
          <w:b/>
          <w:sz w:val="22"/>
          <w:szCs w:val="22"/>
        </w:rPr>
        <w:t>,</w:t>
      </w:r>
      <w:r w:rsidR="0081006E" w:rsidRPr="00386CE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95550" w:rsidRPr="00386CEA">
        <w:rPr>
          <w:rFonts w:ascii="Arial" w:hAnsi="Arial" w:cs="Arial"/>
          <w:b/>
          <w:sz w:val="22"/>
          <w:szCs w:val="22"/>
        </w:rPr>
        <w:t>Managing</w:t>
      </w:r>
      <w:proofErr w:type="spellEnd"/>
      <w:r w:rsidR="00295550" w:rsidRPr="00386CEA">
        <w:rPr>
          <w:rFonts w:ascii="Arial" w:hAnsi="Arial" w:cs="Arial"/>
          <w:b/>
          <w:sz w:val="22"/>
          <w:szCs w:val="22"/>
        </w:rPr>
        <w:t xml:space="preserve"> Partner</w:t>
      </w:r>
      <w:r w:rsidRPr="00386CEA">
        <w:rPr>
          <w:rFonts w:ascii="Arial" w:hAnsi="Arial" w:cs="Arial"/>
          <w:b/>
          <w:sz w:val="22"/>
          <w:szCs w:val="22"/>
        </w:rPr>
        <w:t>,</w:t>
      </w:r>
      <w:r w:rsidR="00295550" w:rsidRPr="00386CEA">
        <w:rPr>
          <w:rFonts w:ascii="Arial" w:hAnsi="Arial" w:cs="Arial"/>
          <w:b/>
          <w:sz w:val="22"/>
          <w:szCs w:val="22"/>
        </w:rPr>
        <w:t xml:space="preserve"> </w:t>
      </w:r>
      <w:r w:rsidR="0081006E" w:rsidRPr="00386CEA">
        <w:rPr>
          <w:rFonts w:ascii="Arial" w:hAnsi="Arial" w:cs="Arial"/>
          <w:b/>
          <w:sz w:val="22"/>
          <w:szCs w:val="22"/>
        </w:rPr>
        <w:t xml:space="preserve">The </w:t>
      </w:r>
      <w:proofErr w:type="spellStart"/>
      <w:r w:rsidR="0081006E" w:rsidRPr="00386CEA">
        <w:rPr>
          <w:rFonts w:ascii="Arial" w:hAnsi="Arial" w:cs="Arial"/>
          <w:b/>
          <w:sz w:val="22"/>
          <w:szCs w:val="22"/>
        </w:rPr>
        <w:t>Shire</w:t>
      </w:r>
      <w:proofErr w:type="spellEnd"/>
      <w:r w:rsidR="0081006E" w:rsidRPr="00386CEA">
        <w:rPr>
          <w:rFonts w:ascii="Arial" w:hAnsi="Arial" w:cs="Arial"/>
          <w:b/>
          <w:sz w:val="22"/>
          <w:szCs w:val="22"/>
        </w:rPr>
        <w:t xml:space="preserve"> – Beyond Coworking</w:t>
      </w:r>
      <w:r w:rsidRPr="00386CEA">
        <w:rPr>
          <w:rFonts w:ascii="Arial" w:hAnsi="Arial" w:cs="Arial"/>
          <w:sz w:val="22"/>
          <w:szCs w:val="22"/>
        </w:rPr>
        <w:t>.</w:t>
      </w:r>
    </w:p>
    <w:p w14:paraId="395C9844" w14:textId="70CD6BC6" w:rsidR="00984693" w:rsidRPr="00386CEA" w:rsidRDefault="00386CEA" w:rsidP="00386CEA">
      <w:pPr>
        <w:spacing w:after="120"/>
        <w:jc w:val="both"/>
        <w:rPr>
          <w:rFonts w:ascii="Arial" w:eastAsia="Arial" w:hAnsi="Arial" w:cs="Arial"/>
          <w:i/>
          <w:sz w:val="22"/>
          <w:szCs w:val="22"/>
        </w:rPr>
      </w:pPr>
      <w:r w:rsidRPr="00386CEA">
        <w:rPr>
          <w:rFonts w:ascii="Arial" w:eastAsia="Arial" w:hAnsi="Arial" w:cs="Arial"/>
          <w:i/>
          <w:sz w:val="22"/>
          <w:szCs w:val="22"/>
        </w:rPr>
        <w:t xml:space="preserve">– </w:t>
      </w:r>
      <w:r w:rsidR="00984693" w:rsidRPr="00386CEA">
        <w:rPr>
          <w:rFonts w:ascii="Arial" w:eastAsia="Arial" w:hAnsi="Arial" w:cs="Arial"/>
          <w:i/>
          <w:sz w:val="22"/>
          <w:szCs w:val="22"/>
        </w:rPr>
        <w:t xml:space="preserve">Wrocław od lat cieszy się renomą dynamicznego ośrodka gospodarczego, przyciągając przedsiębiorców oraz inwestorów z różnych branż. Przestrzenie coworkingowe odgrywają istotną rolę w zapewnianiu elastyczności i efektywności pracy dla zarówno nowoprzybyłych jak i już obecnych na rynku podmiotów. The </w:t>
      </w:r>
      <w:proofErr w:type="spellStart"/>
      <w:r w:rsidR="00984693" w:rsidRPr="00386CEA">
        <w:rPr>
          <w:rFonts w:ascii="Arial" w:eastAsia="Arial" w:hAnsi="Arial" w:cs="Arial"/>
          <w:i/>
          <w:sz w:val="22"/>
          <w:szCs w:val="22"/>
        </w:rPr>
        <w:t>Shire</w:t>
      </w:r>
      <w:proofErr w:type="spellEnd"/>
      <w:r w:rsidR="00984693" w:rsidRPr="00386CEA">
        <w:rPr>
          <w:rFonts w:ascii="Arial" w:eastAsia="Arial" w:hAnsi="Arial" w:cs="Arial"/>
          <w:i/>
          <w:sz w:val="22"/>
          <w:szCs w:val="22"/>
        </w:rPr>
        <w:t xml:space="preserve">, jako nowoczesna i innowacyjna przestrzeń, jest idealnie dostosowana do potrzeb współczesnych profesjonalistów. Jej lokalizacja w biurowcu </w:t>
      </w:r>
      <w:proofErr w:type="spellStart"/>
      <w:r w:rsidR="00984693" w:rsidRPr="00386CEA">
        <w:rPr>
          <w:rFonts w:ascii="Arial" w:eastAsia="Arial" w:hAnsi="Arial" w:cs="Arial"/>
          <w:i/>
          <w:sz w:val="22"/>
          <w:szCs w:val="22"/>
        </w:rPr>
        <w:t>Infinity</w:t>
      </w:r>
      <w:proofErr w:type="spellEnd"/>
      <w:r w:rsidR="00984693" w:rsidRPr="00386CEA">
        <w:rPr>
          <w:rFonts w:ascii="Arial" w:eastAsia="Arial" w:hAnsi="Arial" w:cs="Arial"/>
          <w:i/>
          <w:sz w:val="22"/>
          <w:szCs w:val="22"/>
        </w:rPr>
        <w:t>, który również jest dobrze znanym punktem odniesienia w świecie biznesu, stwarza możliwość integracji z innymi firmami oraz nawiązywania wartościowych relacji biznesowych</w:t>
      </w:r>
      <w:r w:rsidR="0015685E" w:rsidRPr="00386CEA">
        <w:rPr>
          <w:rFonts w:ascii="Arial" w:eastAsia="Arial" w:hAnsi="Arial" w:cs="Arial"/>
          <w:i/>
          <w:sz w:val="22"/>
          <w:szCs w:val="22"/>
        </w:rPr>
        <w:t xml:space="preserve"> – </w:t>
      </w:r>
      <w:r w:rsidRPr="00386CEA">
        <w:rPr>
          <w:rFonts w:ascii="Arial" w:eastAsia="Arial" w:hAnsi="Arial" w:cs="Arial"/>
          <w:sz w:val="22"/>
          <w:szCs w:val="22"/>
        </w:rPr>
        <w:t xml:space="preserve">dodał </w:t>
      </w:r>
      <w:r w:rsidR="0015685E" w:rsidRPr="00386CEA">
        <w:rPr>
          <w:rFonts w:ascii="Arial" w:eastAsia="Arial" w:hAnsi="Arial" w:cs="Arial"/>
          <w:b/>
          <w:sz w:val="22"/>
          <w:szCs w:val="22"/>
        </w:rPr>
        <w:t xml:space="preserve">Michał Lis, Senior </w:t>
      </w:r>
      <w:proofErr w:type="spellStart"/>
      <w:r w:rsidR="0015685E" w:rsidRPr="00386CEA">
        <w:rPr>
          <w:rFonts w:ascii="Arial" w:eastAsia="Arial" w:hAnsi="Arial" w:cs="Arial"/>
          <w:b/>
          <w:sz w:val="22"/>
          <w:szCs w:val="22"/>
        </w:rPr>
        <w:t>Director</w:t>
      </w:r>
      <w:proofErr w:type="spellEnd"/>
      <w:r w:rsidR="0015685E" w:rsidRPr="00386CEA">
        <w:rPr>
          <w:rFonts w:ascii="Arial" w:eastAsia="Arial" w:hAnsi="Arial" w:cs="Arial"/>
          <w:b/>
          <w:sz w:val="22"/>
          <w:szCs w:val="22"/>
        </w:rPr>
        <w:t>, Office Leasing, JLL</w:t>
      </w:r>
      <w:r w:rsidR="0015685E" w:rsidRPr="00386CEA">
        <w:rPr>
          <w:rFonts w:ascii="Arial" w:eastAsia="Arial" w:hAnsi="Arial" w:cs="Arial"/>
          <w:i/>
          <w:sz w:val="22"/>
          <w:szCs w:val="22"/>
        </w:rPr>
        <w:t>.</w:t>
      </w:r>
    </w:p>
    <w:p w14:paraId="54CC373D" w14:textId="6B714D40" w:rsidR="000A58D0" w:rsidRPr="00386CEA" w:rsidRDefault="002A7DEB" w:rsidP="00386CEA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386CEA">
        <w:rPr>
          <w:rFonts w:ascii="Arial" w:eastAsia="Arial" w:hAnsi="Arial" w:cs="Arial"/>
          <w:sz w:val="22"/>
          <w:szCs w:val="22"/>
        </w:rPr>
        <w:t xml:space="preserve">Infinity jest </w:t>
      </w:r>
      <w:r w:rsidR="006D7FA9" w:rsidRPr="00386CEA">
        <w:rPr>
          <w:rFonts w:ascii="Arial" w:eastAsia="Arial" w:hAnsi="Arial" w:cs="Arial"/>
          <w:sz w:val="22"/>
          <w:szCs w:val="22"/>
        </w:rPr>
        <w:t>siedmiokondygnacyjny</w:t>
      </w:r>
      <w:r w:rsidRPr="00386CEA">
        <w:rPr>
          <w:rFonts w:ascii="Arial" w:eastAsia="Arial" w:hAnsi="Arial" w:cs="Arial"/>
          <w:sz w:val="22"/>
          <w:szCs w:val="22"/>
        </w:rPr>
        <w:t>m</w:t>
      </w:r>
      <w:r w:rsidR="006D7FA9" w:rsidRPr="00386CEA">
        <w:rPr>
          <w:rFonts w:ascii="Arial" w:eastAsia="Arial" w:hAnsi="Arial" w:cs="Arial"/>
          <w:sz w:val="22"/>
          <w:szCs w:val="22"/>
        </w:rPr>
        <w:t xml:space="preserve"> budyn</w:t>
      </w:r>
      <w:r w:rsidRPr="00386CEA">
        <w:rPr>
          <w:rFonts w:ascii="Arial" w:eastAsia="Arial" w:hAnsi="Arial" w:cs="Arial"/>
          <w:sz w:val="22"/>
          <w:szCs w:val="22"/>
        </w:rPr>
        <w:t>kiem</w:t>
      </w:r>
      <w:r w:rsidR="006D7FA9" w:rsidRPr="00386CEA">
        <w:rPr>
          <w:rFonts w:ascii="Arial" w:eastAsia="Arial" w:hAnsi="Arial" w:cs="Arial"/>
          <w:sz w:val="22"/>
          <w:szCs w:val="22"/>
        </w:rPr>
        <w:t xml:space="preserve"> biurowy</w:t>
      </w:r>
      <w:r w:rsidRPr="00386CEA">
        <w:rPr>
          <w:rFonts w:ascii="Arial" w:eastAsia="Arial" w:hAnsi="Arial" w:cs="Arial"/>
          <w:sz w:val="22"/>
          <w:szCs w:val="22"/>
        </w:rPr>
        <w:t>m</w:t>
      </w:r>
      <w:r w:rsidR="006D7FA9" w:rsidRPr="00386CEA">
        <w:rPr>
          <w:rFonts w:ascii="Arial" w:eastAsia="Arial" w:hAnsi="Arial" w:cs="Arial"/>
          <w:sz w:val="22"/>
          <w:szCs w:val="22"/>
        </w:rPr>
        <w:t xml:space="preserve"> klasy A, </w:t>
      </w:r>
      <w:r w:rsidRPr="00386CEA">
        <w:rPr>
          <w:rFonts w:ascii="Arial" w:eastAsia="Arial" w:hAnsi="Arial" w:cs="Arial"/>
          <w:sz w:val="22"/>
          <w:szCs w:val="22"/>
        </w:rPr>
        <w:t xml:space="preserve">który </w:t>
      </w:r>
      <w:r w:rsidR="006D7FA9" w:rsidRPr="00386CEA">
        <w:rPr>
          <w:rFonts w:ascii="Arial" w:eastAsia="Arial" w:hAnsi="Arial" w:cs="Arial"/>
          <w:sz w:val="22"/>
          <w:szCs w:val="22"/>
        </w:rPr>
        <w:t xml:space="preserve">oferuje m.in. 18 727 mkw. powierzchni biurowej, 1 561 mkw. powierzchni </w:t>
      </w:r>
      <w:r w:rsidR="00040040" w:rsidRPr="00386CEA">
        <w:rPr>
          <w:rFonts w:ascii="Arial" w:eastAsia="Arial" w:hAnsi="Arial" w:cs="Arial"/>
          <w:sz w:val="22"/>
          <w:szCs w:val="22"/>
        </w:rPr>
        <w:t>handlowo-usługowej</w:t>
      </w:r>
      <w:r w:rsidR="006D7FA9" w:rsidRPr="00386CEA">
        <w:rPr>
          <w:rFonts w:ascii="Arial" w:eastAsia="Arial" w:hAnsi="Arial" w:cs="Arial"/>
          <w:sz w:val="22"/>
          <w:szCs w:val="22"/>
        </w:rPr>
        <w:t xml:space="preserve"> oraz trzypoziomowy podziemny garaż z 311 miejscami parkingowymi (w tym miejsca ze stacjami do ładowania pojazdów elektrycznych). Z myślą o rowerzystach powstało 12</w:t>
      </w:r>
      <w:r w:rsidR="00040040" w:rsidRPr="00386CEA">
        <w:rPr>
          <w:rFonts w:ascii="Arial" w:eastAsia="Arial" w:hAnsi="Arial" w:cs="Arial"/>
          <w:sz w:val="22"/>
          <w:szCs w:val="22"/>
        </w:rPr>
        <w:t>8</w:t>
      </w:r>
      <w:r w:rsidR="006D7FA9" w:rsidRPr="00386CEA">
        <w:rPr>
          <w:rFonts w:ascii="Arial" w:eastAsia="Arial" w:hAnsi="Arial" w:cs="Arial"/>
          <w:sz w:val="22"/>
          <w:szCs w:val="22"/>
        </w:rPr>
        <w:t xml:space="preserve"> stanowisk rowerowych w zamkniętej strefie wraz z szatniami i prysznicami. </w:t>
      </w:r>
      <w:r w:rsidRPr="00386CEA">
        <w:rPr>
          <w:rFonts w:ascii="Arial" w:eastAsia="Arial" w:hAnsi="Arial" w:cs="Arial"/>
          <w:sz w:val="22"/>
          <w:szCs w:val="22"/>
        </w:rPr>
        <w:t xml:space="preserve">Inwestycja zrealizowana przez Avestus Real Estate we współpracy z partnerem biznesowym Alchemy Properties, powstała </w:t>
      </w:r>
      <w:r w:rsidR="006D7FA9" w:rsidRPr="00386CEA">
        <w:rPr>
          <w:rFonts w:ascii="Arial" w:eastAsia="Arial" w:hAnsi="Arial" w:cs="Arial"/>
          <w:sz w:val="22"/>
          <w:szCs w:val="22"/>
        </w:rPr>
        <w:t>zgodnie</w:t>
      </w:r>
      <w:r w:rsidR="00040040" w:rsidRPr="00386CEA">
        <w:rPr>
          <w:rFonts w:ascii="Arial" w:eastAsia="Arial" w:hAnsi="Arial" w:cs="Arial"/>
          <w:sz w:val="22"/>
          <w:szCs w:val="22"/>
        </w:rPr>
        <w:t xml:space="preserve"> z </w:t>
      </w:r>
      <w:r w:rsidR="006D7FA9" w:rsidRPr="00386CEA">
        <w:rPr>
          <w:rFonts w:ascii="Arial" w:eastAsia="Arial" w:hAnsi="Arial" w:cs="Arial"/>
          <w:sz w:val="22"/>
          <w:szCs w:val="22"/>
        </w:rPr>
        <w:t>wymogami certyfikacji BREEAM na poziomie Excellent, a także certyfikacji WELL Health-Safety</w:t>
      </w:r>
      <w:r w:rsidR="005424BF" w:rsidRPr="00386CEA">
        <w:rPr>
          <w:rFonts w:ascii="Arial" w:eastAsia="Arial" w:hAnsi="Arial" w:cs="Arial"/>
          <w:sz w:val="22"/>
          <w:szCs w:val="22"/>
        </w:rPr>
        <w:t>,</w:t>
      </w:r>
      <w:r w:rsidR="006D7FA9" w:rsidRPr="00386CEA">
        <w:rPr>
          <w:rFonts w:ascii="Arial" w:eastAsia="Arial" w:hAnsi="Arial" w:cs="Arial"/>
          <w:sz w:val="22"/>
          <w:szCs w:val="22"/>
        </w:rPr>
        <w:t xml:space="preserve"> potwierdzającej wysoki standard procedur bezpieczeństwa.</w:t>
      </w:r>
    </w:p>
    <w:p w14:paraId="06348050" w14:textId="1B80BAEB" w:rsidR="00EE5466" w:rsidRPr="00386CEA" w:rsidRDefault="005A716C" w:rsidP="00386CEA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386CEA">
        <w:rPr>
          <w:rFonts w:ascii="Arial" w:eastAsia="Arial" w:hAnsi="Arial" w:cs="Arial"/>
          <w:sz w:val="22"/>
          <w:szCs w:val="22"/>
        </w:rPr>
        <w:t>Biurowiec Infinity</w:t>
      </w:r>
      <w:r w:rsidR="003A3C7F" w:rsidRPr="00386CEA">
        <w:rPr>
          <w:rFonts w:ascii="Arial" w:eastAsia="Arial" w:hAnsi="Arial" w:cs="Arial"/>
          <w:sz w:val="22"/>
          <w:szCs w:val="22"/>
        </w:rPr>
        <w:t xml:space="preserve"> może poszczycić się zastosowaniem </w:t>
      </w:r>
      <w:r w:rsidRPr="00386CEA">
        <w:rPr>
          <w:rFonts w:ascii="Arial" w:eastAsia="Arial" w:hAnsi="Arial" w:cs="Arial"/>
          <w:sz w:val="22"/>
          <w:szCs w:val="22"/>
        </w:rPr>
        <w:t>najnowszy</w:t>
      </w:r>
      <w:r w:rsidR="003A3C7F" w:rsidRPr="00386CEA">
        <w:rPr>
          <w:rFonts w:ascii="Arial" w:eastAsia="Arial" w:hAnsi="Arial" w:cs="Arial"/>
          <w:sz w:val="22"/>
          <w:szCs w:val="22"/>
        </w:rPr>
        <w:t>ch</w:t>
      </w:r>
      <w:r w:rsidRPr="00386CEA">
        <w:rPr>
          <w:rFonts w:ascii="Arial" w:eastAsia="Arial" w:hAnsi="Arial" w:cs="Arial"/>
          <w:sz w:val="22"/>
          <w:szCs w:val="22"/>
        </w:rPr>
        <w:t xml:space="preserve"> technologi</w:t>
      </w:r>
      <w:r w:rsidR="003A3C7F" w:rsidRPr="00386CEA">
        <w:rPr>
          <w:rFonts w:ascii="Arial" w:eastAsia="Arial" w:hAnsi="Arial" w:cs="Arial"/>
          <w:sz w:val="22"/>
          <w:szCs w:val="22"/>
        </w:rPr>
        <w:t>i</w:t>
      </w:r>
      <w:r w:rsidRPr="00386CEA">
        <w:rPr>
          <w:rFonts w:ascii="Arial" w:eastAsia="Arial" w:hAnsi="Arial" w:cs="Arial"/>
          <w:sz w:val="22"/>
          <w:szCs w:val="22"/>
        </w:rPr>
        <w:t>, w tym innowacyj</w:t>
      </w:r>
      <w:r w:rsidR="003A3C7F" w:rsidRPr="00386CEA">
        <w:rPr>
          <w:rFonts w:ascii="Arial" w:eastAsia="Arial" w:hAnsi="Arial" w:cs="Arial"/>
          <w:sz w:val="22"/>
          <w:szCs w:val="22"/>
        </w:rPr>
        <w:t>nej</w:t>
      </w:r>
      <w:r w:rsidRPr="00386CEA">
        <w:rPr>
          <w:rFonts w:ascii="Arial" w:eastAsia="Arial" w:hAnsi="Arial" w:cs="Arial"/>
          <w:sz w:val="22"/>
          <w:szCs w:val="22"/>
        </w:rPr>
        <w:t xml:space="preserve"> platform</w:t>
      </w:r>
      <w:r w:rsidR="003A3C7F" w:rsidRPr="00386CEA">
        <w:rPr>
          <w:rFonts w:ascii="Arial" w:eastAsia="Arial" w:hAnsi="Arial" w:cs="Arial"/>
          <w:sz w:val="22"/>
          <w:szCs w:val="22"/>
        </w:rPr>
        <w:t>y</w:t>
      </w:r>
      <w:r w:rsidRPr="00386CEA">
        <w:rPr>
          <w:rFonts w:ascii="Arial" w:eastAsia="Arial" w:hAnsi="Arial" w:cs="Arial"/>
          <w:sz w:val="22"/>
          <w:szCs w:val="22"/>
        </w:rPr>
        <w:t xml:space="preserve"> obsługi najemców autorstwa spaceOS</w:t>
      </w:r>
      <w:r w:rsidR="001B052D" w:rsidRPr="00386CEA">
        <w:rPr>
          <w:rFonts w:ascii="Arial" w:eastAsia="Arial" w:hAnsi="Arial" w:cs="Arial"/>
          <w:sz w:val="22"/>
          <w:szCs w:val="22"/>
        </w:rPr>
        <w:t>.</w:t>
      </w:r>
      <w:r w:rsidRPr="00386CEA">
        <w:rPr>
          <w:rFonts w:ascii="Arial" w:eastAsia="Arial" w:hAnsi="Arial" w:cs="Arial"/>
          <w:sz w:val="22"/>
          <w:szCs w:val="22"/>
        </w:rPr>
        <w:t xml:space="preserve"> Rozwiązania bezdotykowe, uchylne okna oraz najwyższej jakości filtry powietrza zapewni</w:t>
      </w:r>
      <w:r w:rsidR="003A3C7F" w:rsidRPr="00386CEA">
        <w:rPr>
          <w:rFonts w:ascii="Arial" w:eastAsia="Arial" w:hAnsi="Arial" w:cs="Arial"/>
          <w:sz w:val="22"/>
          <w:szCs w:val="22"/>
        </w:rPr>
        <w:t>ają</w:t>
      </w:r>
      <w:r w:rsidRPr="00386CEA">
        <w:rPr>
          <w:rFonts w:ascii="Arial" w:eastAsia="Arial" w:hAnsi="Arial" w:cs="Arial"/>
          <w:sz w:val="22"/>
          <w:szCs w:val="22"/>
        </w:rPr>
        <w:t xml:space="preserve"> bezpieczeństwo i komfort jego użytkownikom</w:t>
      </w:r>
      <w:r w:rsidR="00C20416" w:rsidRPr="00386CEA">
        <w:rPr>
          <w:rFonts w:ascii="Arial" w:eastAsia="Arial" w:hAnsi="Arial" w:cs="Arial"/>
          <w:sz w:val="22"/>
          <w:szCs w:val="22"/>
        </w:rPr>
        <w:t xml:space="preserve">. </w:t>
      </w:r>
      <w:r w:rsidRPr="00386CEA">
        <w:rPr>
          <w:rFonts w:ascii="Arial" w:eastAsia="Arial" w:hAnsi="Arial" w:cs="Arial"/>
          <w:sz w:val="22"/>
          <w:szCs w:val="22"/>
        </w:rPr>
        <w:t>W Infinity zost</w:t>
      </w:r>
      <w:r w:rsidR="003A3C7F" w:rsidRPr="00386CEA">
        <w:rPr>
          <w:rFonts w:ascii="Arial" w:eastAsia="Arial" w:hAnsi="Arial" w:cs="Arial"/>
          <w:sz w:val="22"/>
          <w:szCs w:val="22"/>
        </w:rPr>
        <w:t>ało</w:t>
      </w:r>
      <w:r w:rsidRPr="00386CEA">
        <w:rPr>
          <w:rFonts w:ascii="Arial" w:eastAsia="Arial" w:hAnsi="Arial" w:cs="Arial"/>
          <w:sz w:val="22"/>
          <w:szCs w:val="22"/>
        </w:rPr>
        <w:t xml:space="preserve"> również zaaranżowane imponujące lobby</w:t>
      </w:r>
      <w:r w:rsidR="007443BF" w:rsidRPr="00386CEA">
        <w:rPr>
          <w:rFonts w:ascii="Arial" w:eastAsia="Arial" w:hAnsi="Arial" w:cs="Arial"/>
          <w:sz w:val="22"/>
          <w:szCs w:val="22"/>
        </w:rPr>
        <w:t xml:space="preserve"> </w:t>
      </w:r>
      <w:r w:rsidR="00040040" w:rsidRPr="00386CEA">
        <w:rPr>
          <w:rFonts w:ascii="Arial" w:eastAsia="Arial" w:hAnsi="Arial" w:cs="Arial"/>
          <w:sz w:val="22"/>
          <w:szCs w:val="22"/>
        </w:rPr>
        <w:t>z żywą roślinnością wewnątrz</w:t>
      </w:r>
      <w:r w:rsidRPr="00386CEA">
        <w:rPr>
          <w:rFonts w:ascii="Arial" w:eastAsia="Arial" w:hAnsi="Arial" w:cs="Arial"/>
          <w:sz w:val="22"/>
          <w:szCs w:val="22"/>
        </w:rPr>
        <w:t>. Na dachu biurowca powsta</w:t>
      </w:r>
      <w:r w:rsidR="003A3C7F" w:rsidRPr="00386CEA">
        <w:rPr>
          <w:rFonts w:ascii="Arial" w:eastAsia="Arial" w:hAnsi="Arial" w:cs="Arial"/>
          <w:sz w:val="22"/>
          <w:szCs w:val="22"/>
        </w:rPr>
        <w:t>ły</w:t>
      </w:r>
      <w:r w:rsidRPr="00386CEA">
        <w:rPr>
          <w:rFonts w:ascii="Arial" w:eastAsia="Arial" w:hAnsi="Arial" w:cs="Arial"/>
          <w:sz w:val="22"/>
          <w:szCs w:val="22"/>
        </w:rPr>
        <w:t xml:space="preserve"> przestronne tarasy z elementami małej architektury i zieleni. Wszystkie działania w ramach projektu Infinity, począwszy od prac budowlanych, przez zastosowane technologie i rozwiązania, aż po zarządzanie budynkiem, realizowane są zgodnie z kryteriami ESG, aby zapewnić niskoemisyjność biurowca i zminimalizować jego wpływ na środowisk</w:t>
      </w:r>
      <w:r w:rsidR="00EE5466" w:rsidRPr="00386CEA">
        <w:rPr>
          <w:rFonts w:ascii="Arial" w:eastAsia="Arial" w:hAnsi="Arial" w:cs="Arial"/>
          <w:sz w:val="22"/>
          <w:szCs w:val="22"/>
        </w:rPr>
        <w:t>o.</w:t>
      </w:r>
    </w:p>
    <w:p w14:paraId="4CE9846A" w14:textId="19239FFE" w:rsidR="002C5718" w:rsidRPr="00386CEA" w:rsidRDefault="002C5718" w:rsidP="00386CEA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386CEA">
        <w:rPr>
          <w:rFonts w:ascii="Arial" w:eastAsia="Arial" w:hAnsi="Arial" w:cs="Arial"/>
          <w:sz w:val="22"/>
          <w:szCs w:val="22"/>
        </w:rPr>
        <w:t>Wśród najemców przestrzeni biurowych budynku</w:t>
      </w:r>
      <w:r w:rsidR="00AD5B7E" w:rsidRPr="00386CEA">
        <w:rPr>
          <w:rFonts w:ascii="Arial" w:eastAsia="Arial" w:hAnsi="Arial" w:cs="Arial"/>
          <w:sz w:val="22"/>
          <w:szCs w:val="22"/>
        </w:rPr>
        <w:t>, oprócz</w:t>
      </w:r>
      <w:r w:rsidR="004F4A0F" w:rsidRPr="00386CEA">
        <w:rPr>
          <w:rFonts w:ascii="Arial" w:eastAsia="Arial" w:hAnsi="Arial" w:cs="Arial"/>
          <w:sz w:val="22"/>
          <w:szCs w:val="22"/>
        </w:rPr>
        <w:t xml:space="preserve"> </w:t>
      </w:r>
      <w:r w:rsidR="0016238D" w:rsidRPr="00386CEA">
        <w:rPr>
          <w:rFonts w:ascii="Arial" w:eastAsia="Arial" w:hAnsi="Arial" w:cs="Arial"/>
          <w:sz w:val="22"/>
          <w:szCs w:val="22"/>
        </w:rPr>
        <w:t>The Shire – Beyond Coworking</w:t>
      </w:r>
      <w:r w:rsidR="00AD5B7E" w:rsidRPr="00386CEA">
        <w:rPr>
          <w:rFonts w:ascii="Arial" w:eastAsia="Arial" w:hAnsi="Arial" w:cs="Arial"/>
          <w:sz w:val="22"/>
          <w:szCs w:val="22"/>
        </w:rPr>
        <w:t>,</w:t>
      </w:r>
      <w:r w:rsidRPr="00386CEA">
        <w:rPr>
          <w:rFonts w:ascii="Arial" w:eastAsia="Arial" w:hAnsi="Arial" w:cs="Arial"/>
          <w:sz w:val="22"/>
          <w:szCs w:val="22"/>
        </w:rPr>
        <w:t xml:space="preserve"> znajdują się m.in.: </w:t>
      </w:r>
      <w:r w:rsidR="00313C8E" w:rsidRPr="00386CEA">
        <w:rPr>
          <w:rFonts w:ascii="Arial" w:eastAsia="Arial" w:hAnsi="Arial" w:cs="Arial"/>
          <w:sz w:val="22"/>
          <w:szCs w:val="22"/>
        </w:rPr>
        <w:t xml:space="preserve">Avenga, </w:t>
      </w:r>
      <w:r w:rsidRPr="00386CEA">
        <w:rPr>
          <w:rFonts w:ascii="Arial" w:eastAsia="Arial" w:hAnsi="Arial" w:cs="Arial"/>
          <w:sz w:val="22"/>
          <w:szCs w:val="22"/>
        </w:rPr>
        <w:t>Divante,</w:t>
      </w:r>
      <w:r w:rsidR="004F4A0F" w:rsidRPr="00386CEA">
        <w:rPr>
          <w:rFonts w:ascii="Arial" w:eastAsia="Arial" w:hAnsi="Arial" w:cs="Arial"/>
          <w:sz w:val="22"/>
          <w:szCs w:val="22"/>
        </w:rPr>
        <w:t xml:space="preserve"> Dom Development Wrocław, </w:t>
      </w:r>
      <w:r w:rsidRPr="00386CEA">
        <w:rPr>
          <w:rFonts w:ascii="Arial" w:eastAsia="Arial" w:hAnsi="Arial" w:cs="Arial"/>
          <w:sz w:val="22"/>
          <w:szCs w:val="22"/>
        </w:rPr>
        <w:t>ingage Poland</w:t>
      </w:r>
      <w:r w:rsidR="0016238D" w:rsidRPr="00386CEA">
        <w:rPr>
          <w:rFonts w:ascii="Arial" w:eastAsia="Arial" w:hAnsi="Arial" w:cs="Arial"/>
          <w:sz w:val="22"/>
          <w:szCs w:val="22"/>
        </w:rPr>
        <w:t xml:space="preserve">, </w:t>
      </w:r>
      <w:r w:rsidRPr="00386CEA">
        <w:rPr>
          <w:rFonts w:ascii="Arial" w:eastAsia="Arial" w:hAnsi="Arial" w:cs="Arial"/>
          <w:sz w:val="22"/>
          <w:szCs w:val="22"/>
        </w:rPr>
        <w:t>FutureMeds (firma wynajęła w Infinity przestrzeń zarówno w części handlowo-usługowej, jak i biurowej)</w:t>
      </w:r>
      <w:r w:rsidR="0016238D" w:rsidRPr="00386CEA">
        <w:rPr>
          <w:rFonts w:ascii="Arial" w:eastAsia="Arial" w:hAnsi="Arial" w:cs="Arial"/>
          <w:sz w:val="22"/>
          <w:szCs w:val="22"/>
        </w:rPr>
        <w:t xml:space="preserve"> oraz NATEK Poland.</w:t>
      </w:r>
    </w:p>
    <w:p w14:paraId="67EF6FF4" w14:textId="47721529" w:rsidR="00EE5466" w:rsidRPr="00386CEA" w:rsidRDefault="00EE5466" w:rsidP="00386CEA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386CEA">
        <w:rPr>
          <w:rFonts w:ascii="Arial" w:eastAsia="Arial" w:hAnsi="Arial" w:cs="Arial"/>
          <w:sz w:val="22"/>
          <w:szCs w:val="22"/>
        </w:rPr>
        <w:t>Przy realizacji Infinity nie zapomniano również o ogólnodostępnych przestrzeniach i usługach, z których mogą skorzystać nie tylko pracownicy kompleksu, ale również mieszkańcy Wrocławia. Na wynajem przestrzeni w części handlowo-usługowej obiektu zdecydowały się</w:t>
      </w:r>
      <w:r w:rsidR="00033CBC" w:rsidRPr="00386CEA">
        <w:rPr>
          <w:rFonts w:ascii="Arial" w:eastAsia="Arial" w:hAnsi="Arial" w:cs="Arial"/>
          <w:sz w:val="22"/>
          <w:szCs w:val="22"/>
        </w:rPr>
        <w:t xml:space="preserve"> </w:t>
      </w:r>
      <w:r w:rsidRPr="00386CEA">
        <w:rPr>
          <w:rFonts w:ascii="Arial" w:eastAsia="Arial" w:hAnsi="Arial" w:cs="Arial"/>
          <w:sz w:val="22"/>
          <w:szCs w:val="22"/>
        </w:rPr>
        <w:t xml:space="preserve">klinika stomatologiczna Medicover Stomatology, Gorąco Polecam Smaki z Piekarni, sklep spożywczy Żabka, restauracja Toscanizzazione oraz FutureMeds. Dodatkowo, na pierwszym piętrze budynku </w:t>
      </w:r>
      <w:r w:rsidR="00837620" w:rsidRPr="00386CEA">
        <w:rPr>
          <w:rFonts w:ascii="Arial" w:eastAsia="Arial" w:hAnsi="Arial" w:cs="Arial"/>
          <w:sz w:val="22"/>
          <w:szCs w:val="22"/>
        </w:rPr>
        <w:t>mieści się</w:t>
      </w:r>
      <w:r w:rsidRPr="00386CEA">
        <w:rPr>
          <w:rFonts w:ascii="Arial" w:eastAsia="Arial" w:hAnsi="Arial" w:cs="Arial"/>
          <w:sz w:val="22"/>
          <w:szCs w:val="22"/>
        </w:rPr>
        <w:t xml:space="preserve"> „UP” Klub Fitness z Misją</w:t>
      </w:r>
      <w:r w:rsidR="00033CBC" w:rsidRPr="00386CEA">
        <w:rPr>
          <w:rFonts w:ascii="Arial" w:eastAsia="Arial" w:hAnsi="Arial" w:cs="Arial"/>
          <w:sz w:val="22"/>
          <w:szCs w:val="22"/>
        </w:rPr>
        <w:t xml:space="preserve"> oraz centrum medyczne Enel-Med.</w:t>
      </w:r>
    </w:p>
    <w:p w14:paraId="74196627" w14:textId="2ABC1ECA" w:rsidR="005A716C" w:rsidRPr="002C5718" w:rsidRDefault="005A716C" w:rsidP="00386CEA">
      <w:pPr>
        <w:spacing w:after="120"/>
        <w:jc w:val="both"/>
        <w:rPr>
          <w:rStyle w:val="Uwydatnienie"/>
          <w:rFonts w:ascii="Arial" w:eastAsia="Arial" w:hAnsi="Arial" w:cs="Arial"/>
          <w:i w:val="0"/>
          <w:iCs w:val="0"/>
          <w:sz w:val="22"/>
          <w:szCs w:val="22"/>
        </w:rPr>
      </w:pPr>
      <w:r w:rsidRPr="00386CEA">
        <w:rPr>
          <w:rFonts w:ascii="Arial" w:eastAsia="Arial" w:hAnsi="Arial" w:cs="Arial"/>
          <w:sz w:val="22"/>
          <w:szCs w:val="22"/>
        </w:rPr>
        <w:t xml:space="preserve">Projekt architektoniczny Infinity przygotowała pracownia AD Studio, jego generalnym wykonawcą </w:t>
      </w:r>
      <w:r w:rsidR="003A3C7F" w:rsidRPr="00386CEA">
        <w:rPr>
          <w:rFonts w:ascii="Arial" w:eastAsia="Arial" w:hAnsi="Arial" w:cs="Arial"/>
          <w:sz w:val="22"/>
          <w:szCs w:val="22"/>
        </w:rPr>
        <w:t>była firma</w:t>
      </w:r>
      <w:r w:rsidRPr="00386CEA">
        <w:rPr>
          <w:rFonts w:ascii="Arial" w:eastAsia="Arial" w:hAnsi="Arial" w:cs="Arial"/>
          <w:sz w:val="22"/>
          <w:szCs w:val="22"/>
        </w:rPr>
        <w:t xml:space="preserve"> Eiffage Polska Budownictwo, a za komercjalizację odpowiada JLL.</w:t>
      </w:r>
      <w:r w:rsidRPr="00C20416">
        <w:rPr>
          <w:rFonts w:ascii="Arial" w:eastAsia="Arial" w:hAnsi="Arial" w:cs="Arial"/>
          <w:sz w:val="22"/>
          <w:szCs w:val="22"/>
        </w:rPr>
        <w:t xml:space="preserve"> </w:t>
      </w:r>
    </w:p>
    <w:p w14:paraId="05BB4C4A" w14:textId="77777777" w:rsidR="0043726A" w:rsidRPr="00ED373F" w:rsidRDefault="00987F67">
      <w:pPr>
        <w:spacing w:before="280" w:after="280"/>
        <w:ind w:right="-489"/>
        <w:jc w:val="both"/>
        <w:rPr>
          <w:rFonts w:ascii="Arial" w:eastAsia="Arial" w:hAnsi="Arial" w:cs="Arial"/>
          <w:b/>
          <w:sz w:val="18"/>
          <w:szCs w:val="18"/>
        </w:rPr>
      </w:pPr>
      <w:r w:rsidRPr="00ED373F">
        <w:rPr>
          <w:rFonts w:ascii="Arial" w:eastAsia="Arial" w:hAnsi="Arial" w:cs="Arial"/>
          <w:b/>
          <w:sz w:val="18"/>
          <w:szCs w:val="18"/>
        </w:rPr>
        <w:t>Infinity – informacje podstawowe:</w:t>
      </w:r>
    </w:p>
    <w:p w14:paraId="7D6A618F" w14:textId="2B4702CF" w:rsidR="0043726A" w:rsidRPr="00ED373F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>Łączna powierzchnia najmu – 21 847 mkw. (biura, powierzchnie handlowe na parterze i przestrzeń magazynowa)</w:t>
      </w:r>
    </w:p>
    <w:p w14:paraId="752DB15E" w14:textId="77777777" w:rsidR="0043726A" w:rsidRPr="00ED373F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 xml:space="preserve">Liczba miejsc parkingowych – 311 w garażu podziemnym </w:t>
      </w:r>
    </w:p>
    <w:p w14:paraId="74FA5E41" w14:textId="7EDAEC54" w:rsidR="0043726A" w:rsidRPr="00ED373F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>Udogodnienia dla rowerzystów: 12</w:t>
      </w:r>
      <w:r w:rsidR="00040040">
        <w:rPr>
          <w:rFonts w:ascii="Arial" w:eastAsia="Arial" w:hAnsi="Arial" w:cs="Arial"/>
          <w:color w:val="000000"/>
          <w:sz w:val="18"/>
          <w:szCs w:val="18"/>
        </w:rPr>
        <w:t>8</w:t>
      </w:r>
      <w:r w:rsidRPr="00ED373F">
        <w:rPr>
          <w:rFonts w:ascii="Arial" w:eastAsia="Arial" w:hAnsi="Arial" w:cs="Arial"/>
          <w:color w:val="000000"/>
          <w:sz w:val="18"/>
          <w:szCs w:val="18"/>
        </w:rPr>
        <w:t xml:space="preserve"> stojaków rowerowych – w zamkniętej strefie w podcieniu budynku; szatnie oraz prysznice dla rowerzystów – na poziomie -1</w:t>
      </w:r>
    </w:p>
    <w:p w14:paraId="43FECE3D" w14:textId="77777777" w:rsidR="0043726A" w:rsidRPr="00ED373F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lastRenderedPageBreak/>
        <w:t>Lokalizacja – Wrocław, plac Jana Pawła II (Nabycińska / Legnicka / Sokolnicza) – adres administracyjny ul. Legnicka 16</w:t>
      </w:r>
    </w:p>
    <w:p w14:paraId="213ABFEC" w14:textId="77777777" w:rsidR="0043726A" w:rsidRPr="00ED373F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>Inwestorzy: Alchemy Properties i Avestus Capital Partners</w:t>
      </w:r>
    </w:p>
    <w:p w14:paraId="65E17854" w14:textId="77777777" w:rsidR="0043726A" w:rsidRPr="00ED373F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>Pracownia architektoniczna: AD Studio</w:t>
      </w:r>
    </w:p>
    <w:p w14:paraId="15D2262E" w14:textId="77777777" w:rsidR="0043726A" w:rsidRPr="00ED373F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 xml:space="preserve">Deweloper: Avestus Real Estate </w:t>
      </w:r>
    </w:p>
    <w:p w14:paraId="3A0F6942" w14:textId="77777777" w:rsidR="0043726A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>Generalny wykonawca: Eiffage Polska Budownictwo</w:t>
      </w:r>
    </w:p>
    <w:p w14:paraId="4264ED6D" w14:textId="5E3A9CDA" w:rsidR="00A96E9E" w:rsidRPr="00ED373F" w:rsidRDefault="00A96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Zarządca nieruchomości: Avestus Real Estate</w:t>
      </w:r>
    </w:p>
    <w:p w14:paraId="7C45EBCE" w14:textId="7EA28F3F" w:rsidR="0043726A" w:rsidRDefault="00987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373F">
        <w:rPr>
          <w:rFonts w:ascii="Arial" w:eastAsia="Arial" w:hAnsi="Arial" w:cs="Arial"/>
          <w:color w:val="000000"/>
          <w:sz w:val="18"/>
          <w:szCs w:val="18"/>
        </w:rPr>
        <w:t>Agent komercjalizacji: JLL</w:t>
      </w:r>
    </w:p>
    <w:p w14:paraId="769B1379" w14:textId="77777777" w:rsidR="008B705A" w:rsidRPr="00040040" w:rsidRDefault="008B705A">
      <w:pPr>
        <w:spacing w:after="240"/>
        <w:jc w:val="both"/>
        <w:rPr>
          <w:rFonts w:ascii="Arial" w:eastAsia="Arial" w:hAnsi="Arial" w:cs="Arial"/>
          <w:b/>
          <w:sz w:val="20"/>
          <w:szCs w:val="20"/>
          <w:u w:val="single"/>
          <w:lang w:val="en-GB"/>
        </w:rPr>
      </w:pPr>
    </w:p>
    <w:p w14:paraId="3A39FC14" w14:textId="77777777" w:rsidR="0043726A" w:rsidRDefault="00987F67">
      <w:pPr>
        <w:spacing w:after="240" w:line="276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O Avestus Real Estate</w:t>
      </w:r>
    </w:p>
    <w:p w14:paraId="5D885A77" w14:textId="77777777" w:rsidR="0043726A" w:rsidRDefault="00987F67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Avestus Real Estate to wiodący deweloper, doradca oraz inwestor w sektorze nieruchomości </w:t>
      </w:r>
      <w:r>
        <w:rPr>
          <w:rFonts w:ascii="Arial" w:eastAsia="Arial" w:hAnsi="Arial" w:cs="Arial"/>
          <w:sz w:val="18"/>
          <w:szCs w:val="18"/>
        </w:rPr>
        <w:br/>
        <w:t xml:space="preserve">w Polsce i Europie Środkowej, obecny na rynku od ponad 20 lat. Firma prowadzi projekty w Czechach, Polsce oraz na Węgrzech i Słowacji, gdzie realizuje inwestycje biurowe, handlowe, wielofunkcyjne oraz mieszkaniowe. W regionie Europy Środkowo-Wschodniej posiada około 2 mln mkw. powierzchni komercyjnej w fazie rozwoju, zarządzania lub doradztwa leasingowego. </w:t>
      </w:r>
    </w:p>
    <w:p w14:paraId="530360D8" w14:textId="77777777" w:rsidR="0043726A" w:rsidRDefault="0043726A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43A72199" w14:textId="3302BC35" w:rsidR="0043726A" w:rsidRDefault="00987F67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Avestus Real Estate jest znany w Polsce z realizacji m.in. tak prestiżowych projektów biurowych, jak warszawski International Business Center, budynek F w kompleksie Wiśniowy Business Park, Warsaw Financial Center, park biurowy Enterprise Park w Krakowie</w:t>
      </w:r>
      <w:r w:rsidR="00E17A52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Imagine w Łodzi</w:t>
      </w:r>
      <w:r w:rsidR="00E17A52">
        <w:rPr>
          <w:rFonts w:ascii="Arial" w:eastAsia="Arial" w:hAnsi="Arial" w:cs="Arial"/>
          <w:sz w:val="18"/>
          <w:szCs w:val="18"/>
        </w:rPr>
        <w:t xml:space="preserve"> czy Infinity we Wrocławiu</w:t>
      </w:r>
      <w:r>
        <w:rPr>
          <w:rFonts w:ascii="Arial" w:eastAsia="Arial" w:hAnsi="Arial" w:cs="Arial"/>
          <w:sz w:val="18"/>
          <w:szCs w:val="18"/>
        </w:rPr>
        <w:t xml:space="preserve">. Avestus Real Estate jest aktywnie zaangażowany we wszystkie aspekty procesu deweloperskiego, w tym kształtowanie struktury, opracowywanie strategii, finansowanie, rozwój oraz zarządzanie portfelem różnego rodzaju aktywów nieruchomościowych. </w:t>
      </w:r>
    </w:p>
    <w:p w14:paraId="7DC0D055" w14:textId="77777777" w:rsidR="0043726A" w:rsidRDefault="0043726A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69054057" w14:textId="6BCDF13C" w:rsidR="0043726A" w:rsidRDefault="00987F67">
      <w:pPr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Więcej informacji: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www.avestusrealestate.com</w:t>
      </w:r>
      <w:r w:rsidR="00191541">
        <w:rPr>
          <w:rFonts w:ascii="Arial" w:eastAsia="Arial" w:hAnsi="Arial" w:cs="Arial"/>
          <w:sz w:val="18"/>
          <w:szCs w:val="18"/>
        </w:rPr>
        <w:t xml:space="preserve"> </w:t>
      </w:r>
    </w:p>
    <w:p w14:paraId="40A9B2C2" w14:textId="493BA54D" w:rsidR="00566D41" w:rsidRDefault="00566D41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3609199B" w14:textId="77777777" w:rsidR="00566D41" w:rsidRPr="00ED373F" w:rsidRDefault="00566D41" w:rsidP="00566D41">
      <w:pPr>
        <w:spacing w:before="280"/>
        <w:ind w:right="-489"/>
        <w:jc w:val="both"/>
        <w:rPr>
          <w:rFonts w:ascii="Arial" w:eastAsia="Arial" w:hAnsi="Arial" w:cs="Arial"/>
          <w:sz w:val="18"/>
          <w:szCs w:val="18"/>
        </w:rPr>
        <w:sectPr w:rsidR="00566D41" w:rsidRPr="00ED373F" w:rsidSect="00566D41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0" w:footer="867" w:gutter="0"/>
          <w:pgNumType w:start="1"/>
          <w:cols w:space="708"/>
          <w:docGrid w:linePitch="326"/>
        </w:sectPr>
      </w:pPr>
      <w:r w:rsidRPr="00ED373F">
        <w:rPr>
          <w:rFonts w:ascii="Arial" w:eastAsia="Arial" w:hAnsi="Arial" w:cs="Arial"/>
          <w:b/>
          <w:sz w:val="18"/>
          <w:szCs w:val="18"/>
          <w:u w:val="single"/>
        </w:rPr>
        <w:t>Dodatkowe informacje:</w:t>
      </w:r>
    </w:p>
    <w:p w14:paraId="16281BBD" w14:textId="77777777" w:rsidR="00566D41" w:rsidRPr="00ED373F" w:rsidRDefault="00566D41" w:rsidP="00566D41">
      <w:pPr>
        <w:widowControl w:val="0"/>
        <w:rPr>
          <w:rFonts w:ascii="Arial" w:eastAsia="Arial" w:hAnsi="Arial" w:cs="Arial"/>
          <w:sz w:val="18"/>
          <w:szCs w:val="18"/>
        </w:rPr>
      </w:pPr>
      <w:r w:rsidRPr="00ED373F">
        <w:rPr>
          <w:rFonts w:ascii="Arial" w:eastAsia="Arial" w:hAnsi="Arial" w:cs="Arial"/>
          <w:sz w:val="18"/>
          <w:szCs w:val="18"/>
        </w:rPr>
        <w:t>Krzysztof Wielgus</w:t>
      </w:r>
    </w:p>
    <w:p w14:paraId="1BBCDFA1" w14:textId="77777777" w:rsidR="00566D41" w:rsidRPr="00040040" w:rsidRDefault="00566D41" w:rsidP="00566D41">
      <w:pPr>
        <w:widowControl w:val="0"/>
        <w:rPr>
          <w:rFonts w:ascii="Arial" w:eastAsia="Arial" w:hAnsi="Arial" w:cs="Arial"/>
          <w:b/>
          <w:sz w:val="18"/>
          <w:szCs w:val="18"/>
          <w:lang w:val="en-GB"/>
        </w:rPr>
      </w:pPr>
      <w:r w:rsidRPr="00040040">
        <w:rPr>
          <w:rFonts w:ascii="Arial" w:eastAsia="Arial" w:hAnsi="Arial" w:cs="Arial"/>
          <w:sz w:val="18"/>
          <w:szCs w:val="18"/>
          <w:lang w:val="en-GB"/>
        </w:rPr>
        <w:t>Advanced PR</w:t>
      </w:r>
      <w:r w:rsidRPr="00040040">
        <w:rPr>
          <w:rFonts w:ascii="Arial" w:eastAsia="Arial" w:hAnsi="Arial" w:cs="Arial"/>
          <w:sz w:val="18"/>
          <w:szCs w:val="18"/>
          <w:lang w:val="en-GB"/>
        </w:rPr>
        <w:br/>
        <w:t>e-mail:</w:t>
      </w:r>
      <w:r>
        <w:rPr>
          <w:rFonts w:ascii="Arial" w:eastAsia="Arial" w:hAnsi="Arial" w:cs="Arial"/>
          <w:sz w:val="18"/>
          <w:szCs w:val="18"/>
          <w:lang w:val="en-GB"/>
        </w:rPr>
        <w:t xml:space="preserve"> </w:t>
      </w:r>
      <w:hyperlink r:id="rId11" w:history="1">
        <w:r w:rsidRPr="00FF02B0">
          <w:rPr>
            <w:rStyle w:val="Hipercze"/>
            <w:rFonts w:ascii="Arial" w:eastAsia="Arial" w:hAnsi="Arial" w:cs="Arial"/>
            <w:sz w:val="18"/>
            <w:szCs w:val="18"/>
            <w:lang w:val="en-GB"/>
          </w:rPr>
          <w:t>kwielgus@advancedpr.pl</w:t>
        </w:r>
      </w:hyperlink>
      <w:r>
        <w:rPr>
          <w:rFonts w:ascii="Arial" w:eastAsia="Arial" w:hAnsi="Arial" w:cs="Arial"/>
          <w:sz w:val="18"/>
          <w:szCs w:val="18"/>
          <w:lang w:val="en-GB"/>
        </w:rPr>
        <w:t xml:space="preserve">  </w:t>
      </w:r>
      <w:r w:rsidRPr="00040040">
        <w:rPr>
          <w:rFonts w:ascii="Arial" w:eastAsia="Arial" w:hAnsi="Arial" w:cs="Arial"/>
          <w:sz w:val="18"/>
          <w:szCs w:val="18"/>
          <w:lang w:val="en-GB"/>
        </w:rPr>
        <w:br/>
      </w:r>
      <w:proofErr w:type="spellStart"/>
      <w:r w:rsidRPr="00040040">
        <w:rPr>
          <w:rFonts w:ascii="Arial" w:eastAsia="Arial" w:hAnsi="Arial" w:cs="Arial"/>
          <w:sz w:val="18"/>
          <w:szCs w:val="18"/>
          <w:lang w:val="en-GB"/>
        </w:rPr>
        <w:t>kom</w:t>
      </w:r>
      <w:proofErr w:type="spellEnd"/>
      <w:r w:rsidRPr="00040040">
        <w:rPr>
          <w:rFonts w:ascii="Arial" w:eastAsia="Arial" w:hAnsi="Arial" w:cs="Arial"/>
          <w:sz w:val="18"/>
          <w:szCs w:val="18"/>
          <w:lang w:val="en-GB"/>
        </w:rPr>
        <w:t>.: +48 728 826 023</w:t>
      </w:r>
    </w:p>
    <w:p w14:paraId="1041593C" w14:textId="77777777" w:rsidR="00566D41" w:rsidRDefault="00566D41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sectPr w:rsidR="00566D41">
      <w:headerReference w:type="default" r:id="rId12"/>
      <w:footerReference w:type="default" r:id="rId13"/>
      <w:type w:val="continuous"/>
      <w:pgSz w:w="11906" w:h="16838"/>
      <w:pgMar w:top="539" w:right="1418" w:bottom="181" w:left="1418" w:header="709" w:footer="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FEA9883" w16cex:dateUtc="2024-06-04T12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17613" w14:textId="77777777" w:rsidR="005D29FB" w:rsidRDefault="005D29FB">
      <w:r>
        <w:separator/>
      </w:r>
    </w:p>
  </w:endnote>
  <w:endnote w:type="continuationSeparator" w:id="0">
    <w:p w14:paraId="73823513" w14:textId="77777777" w:rsidR="005D29FB" w:rsidRDefault="005D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">
    <w:altName w:val="Calibri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liorCo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erkeley LT CE Book">
    <w:altName w:val="Calibri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99150" w14:textId="77777777" w:rsidR="00566D41" w:rsidRDefault="00566D41">
    <w:pPr>
      <w:rPr>
        <w:rFonts w:ascii="ITC Berkeley LT CE Book" w:eastAsia="ITC Berkeley LT CE Book" w:hAnsi="ITC Berkeley LT CE Book" w:cs="ITC Berkeley LT CE Book"/>
        <w:b/>
        <w:sz w:val="20"/>
        <w:szCs w:val="20"/>
      </w:rPr>
    </w:pPr>
  </w:p>
  <w:p w14:paraId="3CF85E4A" w14:textId="77777777" w:rsidR="00566D41" w:rsidRPr="004D13FC" w:rsidRDefault="00566D41">
    <w:pPr>
      <w:rPr>
        <w:rFonts w:ascii="ITC Berkeley LT CE Book" w:eastAsia="ITC Berkeley LT CE Book" w:hAnsi="ITC Berkeley LT CE Book" w:cs="ITC Berkeley LT CE Book"/>
        <w:b/>
        <w:sz w:val="20"/>
        <w:szCs w:val="20"/>
        <w:lang w:val="en-US"/>
      </w:rPr>
    </w:pPr>
    <w:r w:rsidRPr="004D13FC">
      <w:rPr>
        <w:rFonts w:ascii="ITC Berkeley LT CE Book" w:eastAsia="ITC Berkeley LT CE Book" w:hAnsi="ITC Berkeley LT CE Book" w:cs="ITC Berkeley LT CE Book"/>
        <w:b/>
        <w:sz w:val="20"/>
        <w:szCs w:val="20"/>
        <w:lang w:val="en-US"/>
      </w:rPr>
      <w:t>AVESTUS REAL ESTATE</w:t>
    </w:r>
  </w:p>
  <w:p w14:paraId="1F460784" w14:textId="77777777" w:rsidR="00566D41" w:rsidRPr="004D13FC" w:rsidRDefault="00566D41">
    <w:pPr>
      <w:rPr>
        <w:rFonts w:ascii="ITC Berkeley LT CE Book" w:eastAsia="ITC Berkeley LT CE Book" w:hAnsi="ITC Berkeley LT CE Book" w:cs="ITC Berkeley LT CE Book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73D2080" wp14:editId="5F14A378">
              <wp:simplePos x="0" y="0"/>
              <wp:positionH relativeFrom="column">
                <wp:posOffset>-914399</wp:posOffset>
              </wp:positionH>
              <wp:positionV relativeFrom="paragraph">
                <wp:posOffset>25400</wp:posOffset>
              </wp:positionV>
              <wp:extent cx="0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16950" y="3780000"/>
                        <a:ext cx="7658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8E9760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in;margin-top:2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">
              <v:stroke startarrowwidth="narrow" startarrowlength="short" endarrowwidth="narrow" endarrowlength="short"/>
            </v:shape>
          </w:pict>
        </mc:Fallback>
      </mc:AlternateContent>
    </w:r>
  </w:p>
  <w:p w14:paraId="5C9B0321" w14:textId="77777777" w:rsidR="00566D41" w:rsidRPr="004D13FC" w:rsidRDefault="00566D41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proofErr w:type="spellStart"/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Avestus</w:t>
    </w:r>
    <w:proofErr w:type="spellEnd"/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 xml:space="preserve"> Real Estate Sp. z o. o.</w:t>
    </w: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ab/>
    </w: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ab/>
    </w: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ab/>
    </w:r>
  </w:p>
  <w:p w14:paraId="41D40153" w14:textId="77777777" w:rsidR="00566D41" w:rsidRPr="004D13FC" w:rsidRDefault="00566D41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proofErr w:type="spellStart"/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Emilii</w:t>
    </w:r>
    <w:proofErr w:type="spellEnd"/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 xml:space="preserve"> Plater 28, 00-688 Warsaw; REGON: 010791175</w:t>
    </w:r>
  </w:p>
  <w:p w14:paraId="7D439C0C" w14:textId="77777777" w:rsidR="00566D41" w:rsidRPr="004D13FC" w:rsidRDefault="00566D41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Telephone: +48 22 520 6000; Share Capital – 50,000.00 PLN</w:t>
    </w:r>
  </w:p>
  <w:p w14:paraId="25C682D4" w14:textId="77777777" w:rsidR="00566D41" w:rsidRPr="004D13FC" w:rsidRDefault="00566D41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Facsimile:   +48 22 520 6001; NIP 526-10-09-801</w:t>
    </w:r>
  </w:p>
  <w:p w14:paraId="4B95CC44" w14:textId="77777777" w:rsidR="00566D41" w:rsidRPr="004D13FC" w:rsidRDefault="00566D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  <w:lang w:val="en-US"/>
      </w:rPr>
    </w:pPr>
    <w:r w:rsidRPr="004D13FC">
      <w:rPr>
        <w:rFonts w:ascii="ITC Berkeley LT CE Book" w:eastAsia="ITC Berkeley LT CE Book" w:hAnsi="ITC Berkeley LT CE Book" w:cs="ITC Berkeley LT CE Book"/>
        <w:color w:val="000000"/>
        <w:sz w:val="18"/>
        <w:szCs w:val="18"/>
        <w:lang w:val="en-US"/>
      </w:rPr>
      <w:t>KRS no.: 0000046689; District Court  of Warsaw, 12th Department of the National Court Register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78E27" w14:textId="77777777" w:rsidR="0043726A" w:rsidRDefault="0043726A">
    <w:pPr>
      <w:rPr>
        <w:rFonts w:ascii="ITC Berkeley LT CE Book" w:eastAsia="ITC Berkeley LT CE Book" w:hAnsi="ITC Berkeley LT CE Book" w:cs="ITC Berkeley LT CE Book"/>
        <w:b/>
        <w:sz w:val="20"/>
        <w:szCs w:val="20"/>
      </w:rPr>
    </w:pPr>
  </w:p>
  <w:p w14:paraId="704536B3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b/>
        <w:sz w:val="20"/>
        <w:szCs w:val="20"/>
        <w:lang w:val="en-US"/>
      </w:rPr>
    </w:pPr>
    <w:r w:rsidRPr="004D13FC">
      <w:rPr>
        <w:rFonts w:ascii="ITC Berkeley LT CE Book" w:eastAsia="ITC Berkeley LT CE Book" w:hAnsi="ITC Berkeley LT CE Book" w:cs="ITC Berkeley LT CE Book"/>
        <w:b/>
        <w:sz w:val="20"/>
        <w:szCs w:val="20"/>
        <w:lang w:val="en-US"/>
      </w:rPr>
      <w:t>AVESTUS REAL ESTATE</w:t>
    </w:r>
  </w:p>
  <w:p w14:paraId="2A505B45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CABC707" wp14:editId="14FF488A">
              <wp:simplePos x="0" y="0"/>
              <wp:positionH relativeFrom="column">
                <wp:posOffset>-914399</wp:posOffset>
              </wp:positionH>
              <wp:positionV relativeFrom="paragraph">
                <wp:posOffset>25400</wp:posOffset>
              </wp:positionV>
              <wp:extent cx="0" cy="12700"/>
              <wp:effectExtent l="0" t="0" r="0" b="0"/>
              <wp:wrapNone/>
              <wp:docPr id="28" name="Łącznik prosty ze strzałką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16950" y="3780000"/>
                        <a:ext cx="7658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25400</wp:posOffset>
              </wp:positionV>
              <wp:extent cx="0" cy="12700"/>
              <wp:effectExtent b="0" l="0" r="0" t="0"/>
              <wp:wrapNone/>
              <wp:docPr id="2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7CA2022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Avestus Real Estate Sp. z o. o.</w:t>
    </w: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ab/>
    </w: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ab/>
    </w: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ab/>
    </w:r>
  </w:p>
  <w:p w14:paraId="503FAFC9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Emilii Plater 28, 00-688 Warsaw; REGON: 010791175</w:t>
    </w:r>
  </w:p>
  <w:p w14:paraId="3647A064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Telephone: +48 22 520 6000; Share Capital – 50,000.00 PLN</w:t>
    </w:r>
  </w:p>
  <w:p w14:paraId="74E0E528" w14:textId="77777777" w:rsidR="0043726A" w:rsidRPr="004D13FC" w:rsidRDefault="00987F67">
    <w:pPr>
      <w:rPr>
        <w:rFonts w:ascii="ITC Berkeley LT CE Book" w:eastAsia="ITC Berkeley LT CE Book" w:hAnsi="ITC Berkeley LT CE Book" w:cs="ITC Berkeley LT CE Book"/>
        <w:sz w:val="18"/>
        <w:szCs w:val="18"/>
        <w:lang w:val="en-US"/>
      </w:rPr>
    </w:pPr>
    <w:r w:rsidRPr="004D13FC">
      <w:rPr>
        <w:rFonts w:ascii="ITC Berkeley LT CE Book" w:eastAsia="ITC Berkeley LT CE Book" w:hAnsi="ITC Berkeley LT CE Book" w:cs="ITC Berkeley LT CE Book"/>
        <w:sz w:val="18"/>
        <w:szCs w:val="18"/>
        <w:lang w:val="en-US"/>
      </w:rPr>
      <w:t>Facsimile:   +48 22 520 6001; NIP 526-10-09-801</w:t>
    </w:r>
  </w:p>
  <w:p w14:paraId="72C41EA6" w14:textId="77777777" w:rsidR="0043726A" w:rsidRPr="004D13FC" w:rsidRDefault="00987F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  <w:lang w:val="en-US"/>
      </w:rPr>
    </w:pPr>
    <w:r w:rsidRPr="004D13FC">
      <w:rPr>
        <w:rFonts w:ascii="ITC Berkeley LT CE Book" w:eastAsia="ITC Berkeley LT CE Book" w:hAnsi="ITC Berkeley LT CE Book" w:cs="ITC Berkeley LT CE Book"/>
        <w:color w:val="000000"/>
        <w:sz w:val="18"/>
        <w:szCs w:val="18"/>
        <w:lang w:val="en-US"/>
      </w:rPr>
      <w:t>KRS no.: 0000046689; District Court  of Warsaw, 12th Department of the National Court Register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049DC" w14:textId="77777777" w:rsidR="005D29FB" w:rsidRDefault="005D29FB">
      <w:r>
        <w:separator/>
      </w:r>
    </w:p>
  </w:footnote>
  <w:footnote w:type="continuationSeparator" w:id="0">
    <w:p w14:paraId="3D952979" w14:textId="77777777" w:rsidR="005D29FB" w:rsidRDefault="005D2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BDF48" w14:textId="77777777" w:rsidR="00566D41" w:rsidRDefault="00566D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0911A50D" w14:textId="77777777" w:rsidR="00566D41" w:rsidRDefault="00566D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04F599AD" w14:textId="77777777" w:rsidR="00566D41" w:rsidRDefault="00566D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3C50232" wp14:editId="37F1EDD0">
          <wp:extent cx="3063875" cy="58166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3875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78CE9" w14:textId="77777777" w:rsidR="0043726A" w:rsidRDefault="004372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5B3588E1" w14:textId="77777777" w:rsidR="0043726A" w:rsidRDefault="004372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2FD10F75" w14:textId="77777777" w:rsidR="0043726A" w:rsidRDefault="00987F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F92E5CD" wp14:editId="4186D525">
          <wp:extent cx="3063875" cy="581660"/>
          <wp:effectExtent l="0" t="0" r="0" b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3875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0881"/>
    <w:multiLevelType w:val="multilevel"/>
    <w:tmpl w:val="CE4CE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6443A9"/>
    <w:multiLevelType w:val="hybridMultilevel"/>
    <w:tmpl w:val="FC16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6A"/>
    <w:rsid w:val="000110A7"/>
    <w:rsid w:val="00020B73"/>
    <w:rsid w:val="000311BE"/>
    <w:rsid w:val="00033CBC"/>
    <w:rsid w:val="00040040"/>
    <w:rsid w:val="00050442"/>
    <w:rsid w:val="00055F5B"/>
    <w:rsid w:val="0007352D"/>
    <w:rsid w:val="0007417B"/>
    <w:rsid w:val="00082624"/>
    <w:rsid w:val="00095E03"/>
    <w:rsid w:val="000962E9"/>
    <w:rsid w:val="000A0C5F"/>
    <w:rsid w:val="000A58D0"/>
    <w:rsid w:val="000A6050"/>
    <w:rsid w:val="000A7A21"/>
    <w:rsid w:val="000D2C29"/>
    <w:rsid w:val="000F3AE1"/>
    <w:rsid w:val="00107C11"/>
    <w:rsid w:val="001113CE"/>
    <w:rsid w:val="001274D0"/>
    <w:rsid w:val="001300DC"/>
    <w:rsid w:val="00130EC0"/>
    <w:rsid w:val="0013644D"/>
    <w:rsid w:val="001460E2"/>
    <w:rsid w:val="0015685E"/>
    <w:rsid w:val="0016238D"/>
    <w:rsid w:val="001628C1"/>
    <w:rsid w:val="001637BF"/>
    <w:rsid w:val="0016785B"/>
    <w:rsid w:val="001865CF"/>
    <w:rsid w:val="00191541"/>
    <w:rsid w:val="001965EC"/>
    <w:rsid w:val="001A4DFD"/>
    <w:rsid w:val="001A6171"/>
    <w:rsid w:val="001B052D"/>
    <w:rsid w:val="001B0858"/>
    <w:rsid w:val="001B208C"/>
    <w:rsid w:val="001B3C59"/>
    <w:rsid w:val="001C3DFF"/>
    <w:rsid w:val="001D3DA9"/>
    <w:rsid w:val="001D3E5F"/>
    <w:rsid w:val="001D4078"/>
    <w:rsid w:val="001E74A6"/>
    <w:rsid w:val="001F0877"/>
    <w:rsid w:val="0020118B"/>
    <w:rsid w:val="002041E3"/>
    <w:rsid w:val="00205CF1"/>
    <w:rsid w:val="00220F10"/>
    <w:rsid w:val="00221978"/>
    <w:rsid w:val="00222B12"/>
    <w:rsid w:val="00240711"/>
    <w:rsid w:val="002414A3"/>
    <w:rsid w:val="0024281E"/>
    <w:rsid w:val="002443B7"/>
    <w:rsid w:val="002502DA"/>
    <w:rsid w:val="00251F90"/>
    <w:rsid w:val="002571AD"/>
    <w:rsid w:val="002614AA"/>
    <w:rsid w:val="00270BFD"/>
    <w:rsid w:val="00295550"/>
    <w:rsid w:val="00296EE1"/>
    <w:rsid w:val="002A721C"/>
    <w:rsid w:val="002A7DEB"/>
    <w:rsid w:val="002B1781"/>
    <w:rsid w:val="002C4380"/>
    <w:rsid w:val="002C5718"/>
    <w:rsid w:val="002D3DD6"/>
    <w:rsid w:val="002E531D"/>
    <w:rsid w:val="002F3A14"/>
    <w:rsid w:val="002F6457"/>
    <w:rsid w:val="0031299B"/>
    <w:rsid w:val="00313C8E"/>
    <w:rsid w:val="00322AFB"/>
    <w:rsid w:val="00337C18"/>
    <w:rsid w:val="00346321"/>
    <w:rsid w:val="00361FD5"/>
    <w:rsid w:val="00382DA2"/>
    <w:rsid w:val="00385B66"/>
    <w:rsid w:val="00386CEA"/>
    <w:rsid w:val="0039161E"/>
    <w:rsid w:val="00394938"/>
    <w:rsid w:val="003A312B"/>
    <w:rsid w:val="003A3C7F"/>
    <w:rsid w:val="003B2654"/>
    <w:rsid w:val="003C2AF1"/>
    <w:rsid w:val="003E7422"/>
    <w:rsid w:val="003F006F"/>
    <w:rsid w:val="004128A3"/>
    <w:rsid w:val="004262FB"/>
    <w:rsid w:val="00431189"/>
    <w:rsid w:val="00433350"/>
    <w:rsid w:val="0043726A"/>
    <w:rsid w:val="0044170C"/>
    <w:rsid w:val="0044427C"/>
    <w:rsid w:val="004478BB"/>
    <w:rsid w:val="0046468B"/>
    <w:rsid w:val="00486E31"/>
    <w:rsid w:val="004B6DC1"/>
    <w:rsid w:val="004D13FC"/>
    <w:rsid w:val="004F0C37"/>
    <w:rsid w:val="004F2217"/>
    <w:rsid w:val="004F4A0F"/>
    <w:rsid w:val="004F50F3"/>
    <w:rsid w:val="0051633A"/>
    <w:rsid w:val="00521A70"/>
    <w:rsid w:val="0053464C"/>
    <w:rsid w:val="005424BF"/>
    <w:rsid w:val="00545BDA"/>
    <w:rsid w:val="00554848"/>
    <w:rsid w:val="00566D41"/>
    <w:rsid w:val="005705A5"/>
    <w:rsid w:val="00575AD5"/>
    <w:rsid w:val="005773E0"/>
    <w:rsid w:val="00596C55"/>
    <w:rsid w:val="005A716C"/>
    <w:rsid w:val="005B77BE"/>
    <w:rsid w:val="005C3FA5"/>
    <w:rsid w:val="005D29FB"/>
    <w:rsid w:val="00601CD3"/>
    <w:rsid w:val="006045F7"/>
    <w:rsid w:val="00604EAB"/>
    <w:rsid w:val="00631CB3"/>
    <w:rsid w:val="006340D7"/>
    <w:rsid w:val="006378A8"/>
    <w:rsid w:val="00642BAC"/>
    <w:rsid w:val="0064461A"/>
    <w:rsid w:val="0064632D"/>
    <w:rsid w:val="00646D6D"/>
    <w:rsid w:val="00661F1D"/>
    <w:rsid w:val="00671ADD"/>
    <w:rsid w:val="00684A24"/>
    <w:rsid w:val="00687E76"/>
    <w:rsid w:val="006A139B"/>
    <w:rsid w:val="006D3B15"/>
    <w:rsid w:val="006D7FA9"/>
    <w:rsid w:val="006E7F7F"/>
    <w:rsid w:val="006F3379"/>
    <w:rsid w:val="006F47A3"/>
    <w:rsid w:val="00704326"/>
    <w:rsid w:val="00705045"/>
    <w:rsid w:val="00713493"/>
    <w:rsid w:val="00737EB7"/>
    <w:rsid w:val="007443BF"/>
    <w:rsid w:val="00744EC8"/>
    <w:rsid w:val="00757EC7"/>
    <w:rsid w:val="00762B23"/>
    <w:rsid w:val="0077003A"/>
    <w:rsid w:val="00792494"/>
    <w:rsid w:val="007B5057"/>
    <w:rsid w:val="007C49CD"/>
    <w:rsid w:val="007D22F7"/>
    <w:rsid w:val="007D5AF7"/>
    <w:rsid w:val="007F635E"/>
    <w:rsid w:val="0081006E"/>
    <w:rsid w:val="008163CF"/>
    <w:rsid w:val="0082528D"/>
    <w:rsid w:val="008330F3"/>
    <w:rsid w:val="00837620"/>
    <w:rsid w:val="00840811"/>
    <w:rsid w:val="00846D95"/>
    <w:rsid w:val="008610B5"/>
    <w:rsid w:val="00867718"/>
    <w:rsid w:val="008A4E0E"/>
    <w:rsid w:val="008B705A"/>
    <w:rsid w:val="008C2C73"/>
    <w:rsid w:val="008D798C"/>
    <w:rsid w:val="00907167"/>
    <w:rsid w:val="00920F3A"/>
    <w:rsid w:val="009217D4"/>
    <w:rsid w:val="0092621F"/>
    <w:rsid w:val="00943A40"/>
    <w:rsid w:val="00946FDB"/>
    <w:rsid w:val="0095506F"/>
    <w:rsid w:val="00956A34"/>
    <w:rsid w:val="00964E45"/>
    <w:rsid w:val="00970B56"/>
    <w:rsid w:val="00981B9E"/>
    <w:rsid w:val="00984693"/>
    <w:rsid w:val="00987F67"/>
    <w:rsid w:val="00994881"/>
    <w:rsid w:val="00994CD2"/>
    <w:rsid w:val="009C79EE"/>
    <w:rsid w:val="009F5AA1"/>
    <w:rsid w:val="00A017A2"/>
    <w:rsid w:val="00A0191E"/>
    <w:rsid w:val="00A244E3"/>
    <w:rsid w:val="00A26220"/>
    <w:rsid w:val="00A40687"/>
    <w:rsid w:val="00A51A56"/>
    <w:rsid w:val="00A53E9D"/>
    <w:rsid w:val="00A550DC"/>
    <w:rsid w:val="00A614C6"/>
    <w:rsid w:val="00A62E8A"/>
    <w:rsid w:val="00A731EF"/>
    <w:rsid w:val="00A905AB"/>
    <w:rsid w:val="00A96E9E"/>
    <w:rsid w:val="00AA068A"/>
    <w:rsid w:val="00AA66B6"/>
    <w:rsid w:val="00AC1629"/>
    <w:rsid w:val="00AD228C"/>
    <w:rsid w:val="00AD5B7E"/>
    <w:rsid w:val="00AE6860"/>
    <w:rsid w:val="00B056E9"/>
    <w:rsid w:val="00B05720"/>
    <w:rsid w:val="00B145EF"/>
    <w:rsid w:val="00B3448F"/>
    <w:rsid w:val="00B354DF"/>
    <w:rsid w:val="00B40E44"/>
    <w:rsid w:val="00B443B4"/>
    <w:rsid w:val="00B816E6"/>
    <w:rsid w:val="00B862D0"/>
    <w:rsid w:val="00B86C3D"/>
    <w:rsid w:val="00BA4D45"/>
    <w:rsid w:val="00BB138A"/>
    <w:rsid w:val="00BB3AD8"/>
    <w:rsid w:val="00BB67EF"/>
    <w:rsid w:val="00BD0836"/>
    <w:rsid w:val="00BE02E0"/>
    <w:rsid w:val="00BE2491"/>
    <w:rsid w:val="00C07D04"/>
    <w:rsid w:val="00C1751F"/>
    <w:rsid w:val="00C20416"/>
    <w:rsid w:val="00C241E5"/>
    <w:rsid w:val="00C511D4"/>
    <w:rsid w:val="00C52717"/>
    <w:rsid w:val="00C6710D"/>
    <w:rsid w:val="00C825F6"/>
    <w:rsid w:val="00C82A29"/>
    <w:rsid w:val="00C91941"/>
    <w:rsid w:val="00C93095"/>
    <w:rsid w:val="00CC1558"/>
    <w:rsid w:val="00CD2C0B"/>
    <w:rsid w:val="00CE2E55"/>
    <w:rsid w:val="00CF4DFA"/>
    <w:rsid w:val="00D00C7B"/>
    <w:rsid w:val="00D01BB3"/>
    <w:rsid w:val="00D01E66"/>
    <w:rsid w:val="00D03BAF"/>
    <w:rsid w:val="00D10C70"/>
    <w:rsid w:val="00D142EB"/>
    <w:rsid w:val="00D17A51"/>
    <w:rsid w:val="00D40B5D"/>
    <w:rsid w:val="00D438EE"/>
    <w:rsid w:val="00D52D4A"/>
    <w:rsid w:val="00D57399"/>
    <w:rsid w:val="00D704D9"/>
    <w:rsid w:val="00D7204E"/>
    <w:rsid w:val="00D84141"/>
    <w:rsid w:val="00D869ED"/>
    <w:rsid w:val="00DA32AF"/>
    <w:rsid w:val="00DC337A"/>
    <w:rsid w:val="00DC7FA9"/>
    <w:rsid w:val="00DD0830"/>
    <w:rsid w:val="00E02D97"/>
    <w:rsid w:val="00E07B2C"/>
    <w:rsid w:val="00E11F6E"/>
    <w:rsid w:val="00E17A52"/>
    <w:rsid w:val="00E33D9D"/>
    <w:rsid w:val="00E3673E"/>
    <w:rsid w:val="00E5375A"/>
    <w:rsid w:val="00E54939"/>
    <w:rsid w:val="00E604E5"/>
    <w:rsid w:val="00E6476C"/>
    <w:rsid w:val="00E73D9A"/>
    <w:rsid w:val="00E81EE6"/>
    <w:rsid w:val="00E8531E"/>
    <w:rsid w:val="00EB2C22"/>
    <w:rsid w:val="00EC171C"/>
    <w:rsid w:val="00ED373F"/>
    <w:rsid w:val="00ED705E"/>
    <w:rsid w:val="00EE5466"/>
    <w:rsid w:val="00F00561"/>
    <w:rsid w:val="00F01B20"/>
    <w:rsid w:val="00F17A1B"/>
    <w:rsid w:val="00F17AD3"/>
    <w:rsid w:val="00F30BAD"/>
    <w:rsid w:val="00F34689"/>
    <w:rsid w:val="00F47DFF"/>
    <w:rsid w:val="00F56BB3"/>
    <w:rsid w:val="00F60593"/>
    <w:rsid w:val="00F92F95"/>
    <w:rsid w:val="00FA5C76"/>
    <w:rsid w:val="00FC482C"/>
    <w:rsid w:val="00FD3401"/>
    <w:rsid w:val="00FD7C23"/>
    <w:rsid w:val="00FE7126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7D09"/>
  <w15:docId w15:val="{30650CC8-9A8E-4425-8BE1-F7D6DF74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39A"/>
  </w:style>
  <w:style w:type="paragraph" w:styleId="Nagwek1">
    <w:name w:val="heading 1"/>
    <w:aliases w:val="Press Release Title"/>
    <w:basedOn w:val="Normalny"/>
    <w:next w:val="Normalny"/>
    <w:link w:val="Nagwek1Znak"/>
    <w:uiPriority w:val="9"/>
    <w:qFormat/>
    <w:rsid w:val="00764BC5"/>
    <w:pPr>
      <w:spacing w:before="240"/>
      <w:outlineLvl w:val="0"/>
    </w:pPr>
    <w:rPr>
      <w:rFonts w:ascii="Trajan Pro" w:hAnsi="Trajan Pro" w:cs="Calibri"/>
      <w:color w:val="2E3790"/>
      <w:sz w:val="51"/>
      <w:szCs w:val="51"/>
      <w:lang w:val="en-GB" w:eastAsia="en-GB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pPr>
      <w:spacing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rsid w:val="000A02F6"/>
    <w:pPr>
      <w:spacing w:before="120" w:after="120" w:line="288" w:lineRule="auto"/>
      <w:ind w:left="709"/>
      <w:jc w:val="both"/>
      <w:outlineLvl w:val="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0A0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A02F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Press Release Title Znak"/>
    <w:basedOn w:val="Domylnaczcionkaakapitu"/>
    <w:link w:val="Nagwek1"/>
    <w:rsid w:val="00764BC5"/>
    <w:rPr>
      <w:rFonts w:ascii="Trajan Pro" w:hAnsi="Trajan Pro" w:cs="Calibri"/>
      <w:color w:val="2E3790"/>
      <w:sz w:val="51"/>
      <w:szCs w:val="51"/>
      <w:lang w:val="en-GB" w:eastAsia="en-GB"/>
    </w:rPr>
  </w:style>
  <w:style w:type="paragraph" w:styleId="Legenda">
    <w:name w:val="caption"/>
    <w:aliases w:val="Date style"/>
    <w:basedOn w:val="Nagwek1"/>
    <w:next w:val="Normalny"/>
    <w:semiHidden/>
    <w:unhideWhenUsed/>
    <w:qFormat/>
    <w:rsid w:val="00764BC5"/>
    <w:rPr>
      <w:color w:val="808080"/>
      <w:sz w:val="36"/>
    </w:rPr>
  </w:style>
  <w:style w:type="character" w:styleId="Hipercze">
    <w:name w:val="Hyperlink"/>
    <w:unhideWhenUsed/>
    <w:rsid w:val="00764BC5"/>
    <w:rPr>
      <w:color w:val="0000FF"/>
      <w:u w:val="single"/>
    </w:rPr>
  </w:style>
  <w:style w:type="character" w:styleId="Odwoaniedokomentarza">
    <w:name w:val="annotation reference"/>
    <w:basedOn w:val="Domylnaczcionkaakapitu"/>
    <w:rsid w:val="001101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01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0123"/>
  </w:style>
  <w:style w:type="paragraph" w:styleId="Tematkomentarza">
    <w:name w:val="annotation subject"/>
    <w:basedOn w:val="Tekstkomentarza"/>
    <w:next w:val="Tekstkomentarza"/>
    <w:link w:val="TematkomentarzaZnak"/>
    <w:rsid w:val="00110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123"/>
    <w:rPr>
      <w:b/>
      <w:bCs/>
    </w:rPr>
  </w:style>
  <w:style w:type="paragraph" w:styleId="Akapitzlist">
    <w:name w:val="List Paragraph"/>
    <w:basedOn w:val="Normalny"/>
    <w:uiPriority w:val="34"/>
    <w:qFormat/>
    <w:rsid w:val="00EE55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74BB"/>
    <w:rPr>
      <w:color w:val="808080"/>
      <w:shd w:val="clear" w:color="auto" w:fill="E6E6E6"/>
    </w:rPr>
  </w:style>
  <w:style w:type="character" w:customStyle="1" w:styleId="fontstyle01">
    <w:name w:val="fontstyle01"/>
    <w:basedOn w:val="Domylnaczcionkaakapitu"/>
    <w:rsid w:val="003D7FB5"/>
    <w:rPr>
      <w:rFonts w:ascii="MeliorCom" w:hAnsi="MeliorCom" w:hint="default"/>
      <w:b w:val="0"/>
      <w:bCs w:val="0"/>
      <w:i w:val="0"/>
      <w:iCs w:val="0"/>
      <w:color w:val="1A1A18"/>
      <w:sz w:val="18"/>
      <w:szCs w:val="18"/>
    </w:rPr>
  </w:style>
  <w:style w:type="paragraph" w:styleId="Poprawka">
    <w:name w:val="Revision"/>
    <w:hidden/>
    <w:uiPriority w:val="99"/>
    <w:semiHidden/>
    <w:rsid w:val="000E1083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438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7417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74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wielgus@advancedpr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cydIDQs7NkScYBYjLUhoFWxveQ==">AMUW2mVsWIpr2WPWscq2aDoVqxNt1LjF6eHmvdcQU8wrV/oyZmnLMmR+btVaPUYlQDFPGBT9+oHxn2vTo6LcuumQq2NoMRN9HHfkwjfqVYRQYb0YQa7e12Q=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C3F7E3-13D2-4360-B2BC-71DE8F50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1201</Words>
  <Characters>7209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Pasko</dc:creator>
  <cp:lastModifiedBy>Krzysztof Wielgus</cp:lastModifiedBy>
  <cp:revision>6</cp:revision>
  <dcterms:created xsi:type="dcterms:W3CDTF">2024-06-12T10:50:00Z</dcterms:created>
  <dcterms:modified xsi:type="dcterms:W3CDTF">2024-06-18T06:55:00Z</dcterms:modified>
</cp:coreProperties>
</file>